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87" w:rsidRDefault="00407A87" w:rsidP="00407A87">
      <w:pPr>
        <w:pStyle w:val="Titolo1"/>
      </w:pPr>
      <w:r w:rsidRPr="00B45B1A">
        <w:t xml:space="preserve">Philosophy of Psychology </w:t>
      </w:r>
    </w:p>
    <w:p w:rsidR="00407A87" w:rsidRPr="00407A87" w:rsidRDefault="00407A87" w:rsidP="00407A87">
      <w:pPr>
        <w:pStyle w:val="Titolo2"/>
        <w:rPr>
          <w:lang w:val="en-US"/>
        </w:rPr>
      </w:pPr>
      <w:r>
        <w:t xml:space="preserve">Prof. Nicolò Maria Gaj; Prof. </w:t>
      </w:r>
      <w:r w:rsidRPr="00407A87">
        <w:rPr>
          <w:lang w:val="en-US"/>
        </w:rPr>
        <w:t>Giuseppe Lo Dico</w:t>
      </w:r>
    </w:p>
    <w:p w:rsidR="00407A87" w:rsidRPr="00407A87" w:rsidRDefault="00407A87" w:rsidP="00407A87">
      <w:pPr>
        <w:pStyle w:val="Titolo3"/>
        <w:rPr>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rsidR="00407A87" w:rsidRPr="00407A87" w:rsidRDefault="00407A87" w:rsidP="00407A87">
      <w:pPr>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main aim of the course is to critically investigate the most important schools of contemporary psychology by using the conceptual tools provided by the philosophy of science. For this purpose, an analysis of the various psychological paradigms will be preceded by the illustration of the basic concepts of the general philosophy of science and the philosophy of human sciences. The course also includes an in-depth investigation. This year topic is robotics. </w:t>
      </w:r>
    </w:p>
    <w:p w:rsidR="00407A87" w:rsidRPr="00407A87" w:rsidRDefault="00407A87" w:rsidP="00407A87">
      <w:pPr>
        <w:jc w:val="both"/>
        <w:rPr>
          <w:rFonts w:ascii="Times New Roman" w:hAnsi="Times New Roman" w:cs="Times New Roman"/>
          <w:sz w:val="20"/>
          <w:szCs w:val="20"/>
          <w:lang w:val="en-US"/>
        </w:rPr>
      </w:pPr>
      <w:r w:rsidRPr="00407A87">
        <w:rPr>
          <w:rFonts w:ascii="Times New Roman" w:hAnsi="Times New Roman" w:cs="Times New Roman"/>
          <w:i/>
          <w:sz w:val="20"/>
          <w:szCs w:val="20"/>
          <w:lang w:val="en-US"/>
        </w:rPr>
        <w:t>Expected learning results</w:t>
      </w:r>
    </w:p>
    <w:p w:rsidR="00407A87" w:rsidRPr="00407A87" w:rsidRDefault="00407A87" w:rsidP="00407A87">
      <w:pPr>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At the end of the course, students will be able to critically outline the concepts learned and demonstrate a firm grasp on the specificity of the epistemological point of view presupposed by critical examination of the various psychological positions. They will also be able to argue for or against the various psychology models studied. Students will also gain a critical ability to analyze and evaluate the epistemological and anthropological dimensions of robotics.</w:t>
      </w:r>
    </w:p>
    <w:p w:rsidR="00407A87" w:rsidRPr="00407A87" w:rsidRDefault="00407A87" w:rsidP="00407A87">
      <w:pPr>
        <w:spacing w:before="240" w:after="120"/>
        <w:rPr>
          <w:rFonts w:ascii="Times New Roman" w:hAnsi="Times New Roman" w:cs="Times New Roman"/>
          <w:b/>
          <w:i/>
          <w:sz w:val="18"/>
          <w:lang w:val="en-US"/>
        </w:rPr>
      </w:pPr>
      <w:r w:rsidRPr="00407A87">
        <w:rPr>
          <w:rFonts w:ascii="Times New Roman" w:hAnsi="Times New Roman" w:cs="Times New Roman"/>
          <w:b/>
          <w:i/>
          <w:sz w:val="18"/>
          <w:lang w:val="en-US"/>
        </w:rPr>
        <w:t>COURSE CONTENT</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The course presents the fundamental elements of general philosophy of science, philosophy of human sciences, philosophy of psychology and includes an in-depth investigation on robotics.</w:t>
      </w:r>
    </w:p>
    <w:p w:rsidR="00407A87" w:rsidRPr="00407A87" w:rsidRDefault="00407A87" w:rsidP="00407A87">
      <w:pPr>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1: </w:t>
      </w:r>
      <w:r w:rsidRPr="00407A87">
        <w:rPr>
          <w:rFonts w:ascii="Times New Roman" w:hAnsi="Times New Roman" w:cs="Times New Roman"/>
          <w:i/>
          <w:sz w:val="20"/>
          <w:szCs w:val="20"/>
          <w:lang w:val="en-US"/>
        </w:rPr>
        <w:t>General Philosophy of Science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Unit 1: Scientific theories</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What scientific theories are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The relationship between the notions of theory, hypothesis, and law</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Unit 2: Explanation and prediction in science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Deductive-</w:t>
      </w:r>
      <w:proofErr w:type="spellStart"/>
      <w:r w:rsidRPr="00407A87">
        <w:rPr>
          <w:rFonts w:ascii="Times New Roman" w:hAnsi="Times New Roman" w:cs="Times New Roman"/>
          <w:sz w:val="20"/>
          <w:szCs w:val="20"/>
          <w:lang w:val="en-US"/>
        </w:rPr>
        <w:t>nomological</w:t>
      </w:r>
      <w:proofErr w:type="spellEnd"/>
      <w:r w:rsidRPr="00407A87">
        <w:rPr>
          <w:rFonts w:ascii="Times New Roman" w:hAnsi="Times New Roman" w:cs="Times New Roman"/>
          <w:sz w:val="20"/>
          <w:szCs w:val="20"/>
          <w:lang w:val="en-US"/>
        </w:rPr>
        <w:t xml:space="preserve"> vs. inductive statistical explanations</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Philosophical interpretations of the notion of probability</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Explanation and prediction</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Unit 3: Justification in science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Logical positivism from the first to the third phase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Popper’s rejection of the inductive method</w:t>
      </w:r>
    </w:p>
    <w:p w:rsidR="00407A87" w:rsidRPr="00407A87" w:rsidRDefault="00407A87" w:rsidP="00407A87">
      <w:pPr>
        <w:rPr>
          <w:rFonts w:ascii="Times New Roman" w:hAnsi="Times New Roman" w:cs="Times New Roman"/>
          <w:sz w:val="20"/>
          <w:szCs w:val="20"/>
          <w:lang w:val="en-US"/>
        </w:rPr>
      </w:pPr>
      <w:proofErr w:type="spellStart"/>
      <w:r w:rsidRPr="00407A87">
        <w:rPr>
          <w:rFonts w:ascii="Times New Roman" w:hAnsi="Times New Roman" w:cs="Times New Roman"/>
          <w:sz w:val="20"/>
          <w:szCs w:val="20"/>
          <w:lang w:val="en-US"/>
        </w:rPr>
        <w:t>Inductivism</w:t>
      </w:r>
      <w:proofErr w:type="spellEnd"/>
      <w:r w:rsidRPr="00407A87">
        <w:rPr>
          <w:rFonts w:ascii="Times New Roman" w:hAnsi="Times New Roman" w:cs="Times New Roman"/>
          <w:sz w:val="20"/>
          <w:szCs w:val="20"/>
          <w:lang w:val="en-US"/>
        </w:rPr>
        <w:t xml:space="preserve"> vs. anti-</w:t>
      </w:r>
      <w:proofErr w:type="spellStart"/>
      <w:r w:rsidRPr="00407A87">
        <w:rPr>
          <w:rFonts w:ascii="Times New Roman" w:hAnsi="Times New Roman" w:cs="Times New Roman"/>
          <w:sz w:val="20"/>
          <w:szCs w:val="20"/>
          <w:lang w:val="en-US"/>
        </w:rPr>
        <w:t>inductivism</w:t>
      </w:r>
      <w:proofErr w:type="spellEnd"/>
      <w:r w:rsidRPr="00407A87">
        <w:rPr>
          <w:rFonts w:ascii="Times New Roman" w:hAnsi="Times New Roman" w:cs="Times New Roman"/>
          <w:sz w:val="20"/>
          <w:szCs w:val="20"/>
          <w:lang w:val="en-US"/>
        </w:rPr>
        <w:t xml:space="preserve">: </w:t>
      </w:r>
      <w:proofErr w:type="spellStart"/>
      <w:r w:rsidRPr="00407A87">
        <w:rPr>
          <w:rFonts w:ascii="Times New Roman" w:hAnsi="Times New Roman" w:cs="Times New Roman"/>
          <w:sz w:val="20"/>
          <w:szCs w:val="20"/>
          <w:lang w:val="en-US"/>
        </w:rPr>
        <w:t>Reichenbach</w:t>
      </w:r>
      <w:proofErr w:type="spellEnd"/>
      <w:r w:rsidRPr="00407A87">
        <w:rPr>
          <w:rFonts w:ascii="Times New Roman" w:hAnsi="Times New Roman" w:cs="Times New Roman"/>
          <w:sz w:val="20"/>
          <w:szCs w:val="20"/>
          <w:lang w:val="en-US"/>
        </w:rPr>
        <w:t xml:space="preserve"> vs. Popper</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Popper’s </w:t>
      </w:r>
      <w:proofErr w:type="spellStart"/>
      <w:r w:rsidRPr="00407A87">
        <w:rPr>
          <w:rFonts w:ascii="Times New Roman" w:hAnsi="Times New Roman" w:cs="Times New Roman"/>
          <w:sz w:val="20"/>
          <w:szCs w:val="20"/>
          <w:lang w:val="en-US"/>
        </w:rPr>
        <w:t>hypothetico</w:t>
      </w:r>
      <w:proofErr w:type="spellEnd"/>
      <w:r w:rsidRPr="00407A87">
        <w:rPr>
          <w:rFonts w:ascii="Times New Roman" w:hAnsi="Times New Roman" w:cs="Times New Roman"/>
          <w:sz w:val="20"/>
          <w:szCs w:val="20"/>
          <w:lang w:val="en-US"/>
        </w:rPr>
        <w:t>-deductive method</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Corroboration and rational prediction: Salmon’s criticism of Popper</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xml:space="preserve"> and evolutionary epistemology in Popper’s thought</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Post-</w:t>
      </w:r>
      <w:proofErr w:type="spellStart"/>
      <w:r w:rsidRPr="00407A87">
        <w:rPr>
          <w:rFonts w:ascii="Times New Roman" w:hAnsi="Times New Roman" w:cs="Times New Roman"/>
          <w:sz w:val="20"/>
          <w:szCs w:val="20"/>
          <w:lang w:val="en-US"/>
        </w:rPr>
        <w:t>Popperian</w:t>
      </w:r>
      <w:proofErr w:type="spellEnd"/>
      <w:r w:rsidRPr="00407A87">
        <w:rPr>
          <w:rFonts w:ascii="Times New Roman" w:hAnsi="Times New Roman" w:cs="Times New Roman"/>
          <w:sz w:val="20"/>
          <w:szCs w:val="20"/>
          <w:lang w:val="en-US"/>
        </w:rPr>
        <w:t xml:space="preserve"> philosophy of science: T. Kuhn and P. </w:t>
      </w:r>
      <w:proofErr w:type="spellStart"/>
      <w:r w:rsidRPr="00407A87">
        <w:rPr>
          <w:rFonts w:ascii="Times New Roman" w:hAnsi="Times New Roman" w:cs="Times New Roman"/>
          <w:sz w:val="20"/>
          <w:szCs w:val="20"/>
          <w:lang w:val="en-US"/>
        </w:rPr>
        <w:t>Feyerabend</w:t>
      </w:r>
      <w:proofErr w:type="spellEnd"/>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moderate vs. radical versions</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lastRenderedPageBreak/>
        <w:t>Unit 4: The dynamics of science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dynamics of science: comparison of Logical positivism, </w:t>
      </w:r>
      <w:proofErr w:type="spellStart"/>
      <w:r w:rsidRPr="00407A87">
        <w:rPr>
          <w:rFonts w:ascii="Times New Roman" w:hAnsi="Times New Roman" w:cs="Times New Roman"/>
          <w:sz w:val="20"/>
          <w:szCs w:val="20"/>
          <w:lang w:val="en-US"/>
        </w:rPr>
        <w:t>Popperianism</w:t>
      </w:r>
      <w:proofErr w:type="spellEnd"/>
      <w:r w:rsidRPr="00407A87">
        <w:rPr>
          <w:rFonts w:ascii="Times New Roman" w:hAnsi="Times New Roman" w:cs="Times New Roman"/>
          <w:sz w:val="20"/>
          <w:szCs w:val="20"/>
          <w:lang w:val="en-US"/>
        </w:rPr>
        <w:t xml:space="preserve"> and Post-</w:t>
      </w:r>
      <w:proofErr w:type="spellStart"/>
      <w:r w:rsidRPr="00407A87">
        <w:rPr>
          <w:rFonts w:ascii="Times New Roman" w:hAnsi="Times New Roman" w:cs="Times New Roman"/>
          <w:sz w:val="20"/>
          <w:szCs w:val="20"/>
          <w:lang w:val="en-US"/>
        </w:rPr>
        <w:t>Popperian</w:t>
      </w:r>
      <w:proofErr w:type="spellEnd"/>
      <w:r w:rsidRPr="00407A87">
        <w:rPr>
          <w:rFonts w:ascii="Times New Roman" w:hAnsi="Times New Roman" w:cs="Times New Roman"/>
          <w:sz w:val="20"/>
          <w:szCs w:val="20"/>
          <w:lang w:val="en-US"/>
        </w:rPr>
        <w:t xml:space="preserve"> philosophy of science</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Unit 5: Scientific realism</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Truth and verisimilitude in Popper’s thought</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Realism vs. anti-realism in science</w:t>
      </w:r>
    </w:p>
    <w:p w:rsidR="00407A87" w:rsidRPr="00407A87" w:rsidRDefault="00407A87" w:rsidP="00407A87">
      <w:pPr>
        <w:spacing w:before="120"/>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2: </w:t>
      </w:r>
      <w:r w:rsidRPr="00407A87">
        <w:rPr>
          <w:rFonts w:ascii="Times New Roman" w:hAnsi="Times New Roman" w:cs="Times New Roman"/>
          <w:i/>
          <w:sz w:val="20"/>
          <w:szCs w:val="20"/>
          <w:lang w:val="en-US"/>
        </w:rPr>
        <w:t>Philosophy of the Human Sciences</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Unit 1: Historical development and contemporary perspectives in the debate between the human and the natural sciences</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Explanation vs. understanding: the debate’s rise in the 19</w:t>
      </w:r>
      <w:r w:rsidRPr="00407A87">
        <w:rPr>
          <w:rFonts w:ascii="Times New Roman" w:eastAsia="PilGi" w:hAnsi="Times New Roman" w:cs="Times New Roman"/>
          <w:sz w:val="20"/>
          <w:szCs w:val="20"/>
          <w:vertAlign w:val="superscript"/>
          <w:lang w:val="en-US"/>
        </w:rPr>
        <w:t>th</w:t>
      </w:r>
      <w:r w:rsidRPr="00407A87">
        <w:rPr>
          <w:rFonts w:ascii="Times New Roman" w:eastAsia="PilGi" w:hAnsi="Times New Roman" w:cs="Times New Roman"/>
          <w:sz w:val="20"/>
          <w:szCs w:val="20"/>
          <w:lang w:val="en-US"/>
        </w:rPr>
        <w:t xml:space="preserve"> Century and contemporary perspectives</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 xml:space="preserve">Analytic philosophy: ordinary language philosophy vs. the </w:t>
      </w:r>
      <w:proofErr w:type="spellStart"/>
      <w:r w:rsidRPr="00407A87">
        <w:rPr>
          <w:rFonts w:ascii="Times New Roman" w:eastAsia="PilGi" w:hAnsi="Times New Roman" w:cs="Times New Roman"/>
          <w:sz w:val="20"/>
          <w:szCs w:val="20"/>
          <w:lang w:val="en-US"/>
        </w:rPr>
        <w:t>causalistic</w:t>
      </w:r>
      <w:proofErr w:type="spellEnd"/>
      <w:r w:rsidRPr="00407A87">
        <w:rPr>
          <w:rFonts w:ascii="Times New Roman" w:eastAsia="PilGi" w:hAnsi="Times New Roman" w:cs="Times New Roman"/>
          <w:sz w:val="20"/>
          <w:szCs w:val="20"/>
          <w:lang w:val="en-US"/>
        </w:rPr>
        <w:t xml:space="preserve"> approach to the sciences (neo-positivism and cybernetics)</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Unit 2: Explanation in the human sciences</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Popper’s situational logic</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G.H. von Wright’s practical inference</w:t>
      </w:r>
    </w:p>
    <w:p w:rsidR="00407A87" w:rsidRPr="00407A87" w:rsidRDefault="00407A87" w:rsidP="00407A87">
      <w:pPr>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Deductive-</w:t>
      </w:r>
      <w:proofErr w:type="spellStart"/>
      <w:r w:rsidRPr="00407A87">
        <w:rPr>
          <w:rFonts w:ascii="Times New Roman" w:eastAsia="PilGi" w:hAnsi="Times New Roman" w:cs="Times New Roman"/>
          <w:sz w:val="20"/>
          <w:szCs w:val="20"/>
          <w:lang w:val="en-US"/>
        </w:rPr>
        <w:t>nomological</w:t>
      </w:r>
      <w:proofErr w:type="spellEnd"/>
      <w:r w:rsidRPr="00407A87">
        <w:rPr>
          <w:rFonts w:ascii="Times New Roman" w:eastAsia="PilGi" w:hAnsi="Times New Roman" w:cs="Times New Roman"/>
          <w:sz w:val="20"/>
          <w:szCs w:val="20"/>
          <w:lang w:val="en-US"/>
        </w:rPr>
        <w:t xml:space="preserve"> explanation model and practical inference: similarities and differences</w:t>
      </w:r>
    </w:p>
    <w:p w:rsidR="00407A87" w:rsidRPr="00407A87" w:rsidRDefault="00407A87" w:rsidP="00407A87">
      <w:pPr>
        <w:spacing w:before="120"/>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MODULE 3: </w:t>
      </w:r>
      <w:r w:rsidRPr="00407A87">
        <w:rPr>
          <w:rFonts w:ascii="Times New Roman" w:hAnsi="Times New Roman" w:cs="Times New Roman"/>
          <w:i/>
          <w:sz w:val="20"/>
          <w:szCs w:val="20"/>
          <w:lang w:val="en-US"/>
        </w:rPr>
        <w:t>Philosophy of Psychology</w:t>
      </w:r>
    </w:p>
    <w:p w:rsidR="00407A87" w:rsidRPr="00407A87" w:rsidRDefault="00407A87" w:rsidP="00407A87">
      <w:pPr>
        <w:rPr>
          <w:rFonts w:ascii="Times New Roman" w:hAnsi="Times New Roman" w:cs="Times New Roman"/>
          <w:sz w:val="20"/>
          <w:szCs w:val="20"/>
        </w:rPr>
      </w:pPr>
      <w:r w:rsidRPr="00407A87">
        <w:rPr>
          <w:rFonts w:ascii="Times New Roman" w:hAnsi="Times New Roman" w:cs="Times New Roman"/>
          <w:sz w:val="20"/>
          <w:szCs w:val="20"/>
        </w:rPr>
        <w:t>The debate on the scientificity of psychoanalysis: Grünbaum vs. Popper</w:t>
      </w:r>
    </w:p>
    <w:p w:rsidR="00407A87" w:rsidRPr="00407A87" w:rsidRDefault="00407A87" w:rsidP="00407A87">
      <w:pPr>
        <w:rPr>
          <w:rFonts w:ascii="Times New Roman" w:hAnsi="Times New Roman" w:cs="Times New Roman"/>
          <w:sz w:val="20"/>
          <w:szCs w:val="20"/>
        </w:rPr>
      </w:pPr>
      <w:r w:rsidRPr="00407A87">
        <w:rPr>
          <w:rFonts w:ascii="Times New Roman" w:hAnsi="Times New Roman" w:cs="Times New Roman"/>
          <w:sz w:val="20"/>
          <w:szCs w:val="20"/>
        </w:rPr>
        <w:t>The epistemological status of psychology according to W. Wundt</w:t>
      </w:r>
    </w:p>
    <w:p w:rsidR="00407A87" w:rsidRPr="00407A87" w:rsidRDefault="00407A87" w:rsidP="00407A87">
      <w:pPr>
        <w:rPr>
          <w:rFonts w:ascii="Times New Roman" w:hAnsi="Times New Roman" w:cs="Times New Roman"/>
          <w:sz w:val="20"/>
          <w:szCs w:val="20"/>
        </w:rPr>
      </w:pPr>
      <w:r w:rsidRPr="00407A87">
        <w:rPr>
          <w:rFonts w:ascii="Times New Roman" w:hAnsi="Times New Roman" w:cs="Times New Roman"/>
          <w:sz w:val="20"/>
          <w:szCs w:val="20"/>
        </w:rPr>
        <w:t>The epistemological foundations of behaviorism</w:t>
      </w:r>
    </w:p>
    <w:p w:rsidR="00407A87" w:rsidRPr="00407A87" w:rsidRDefault="00407A87" w:rsidP="00407A87">
      <w:pPr>
        <w:rPr>
          <w:rFonts w:ascii="Times New Roman" w:hAnsi="Times New Roman" w:cs="Times New Roman"/>
          <w:sz w:val="20"/>
          <w:szCs w:val="20"/>
        </w:rPr>
      </w:pPr>
      <w:r w:rsidRPr="00407A87">
        <w:rPr>
          <w:rFonts w:ascii="Times New Roman" w:hAnsi="Times New Roman" w:cs="Times New Roman"/>
          <w:sz w:val="20"/>
          <w:szCs w:val="20"/>
        </w:rPr>
        <w:t>The epistemological foundations of the cognitive sciences</w:t>
      </w:r>
    </w:p>
    <w:p w:rsidR="00407A87" w:rsidRPr="00407A87" w:rsidRDefault="00407A87" w:rsidP="00407A87">
      <w:pPr>
        <w:rPr>
          <w:rFonts w:ascii="Times New Roman" w:hAnsi="Times New Roman" w:cs="Times New Roman"/>
          <w:sz w:val="20"/>
          <w:szCs w:val="20"/>
        </w:rPr>
      </w:pPr>
      <w:r w:rsidRPr="00407A87">
        <w:rPr>
          <w:rFonts w:ascii="Times New Roman" w:hAnsi="Times New Roman" w:cs="Times New Roman"/>
          <w:sz w:val="20"/>
          <w:szCs w:val="20"/>
        </w:rPr>
        <w:t>The epistemological foundations of constructionism</w:t>
      </w:r>
    </w:p>
    <w:p w:rsidR="00407A87" w:rsidRPr="00407A87" w:rsidRDefault="00407A87" w:rsidP="00407A87">
      <w:pPr>
        <w:rPr>
          <w:rFonts w:ascii="Times New Roman" w:hAnsi="Times New Roman" w:cs="Times New Roman"/>
          <w:sz w:val="20"/>
          <w:szCs w:val="20"/>
        </w:rPr>
      </w:pPr>
      <w:r w:rsidRPr="00407A87">
        <w:rPr>
          <w:rFonts w:ascii="Times New Roman" w:hAnsi="Times New Roman" w:cs="Times New Roman"/>
          <w:sz w:val="20"/>
          <w:szCs w:val="20"/>
        </w:rPr>
        <w:t>The epistemological foundations of the systemic-relational approach</w:t>
      </w:r>
    </w:p>
    <w:p w:rsidR="00407A87" w:rsidRPr="00407A87" w:rsidRDefault="00407A87" w:rsidP="00407A87">
      <w:pPr>
        <w:spacing w:before="120"/>
        <w:rPr>
          <w:rFonts w:ascii="Times New Roman" w:hAnsi="Times New Roman" w:cs="Times New Roman"/>
          <w:i/>
          <w:sz w:val="20"/>
          <w:szCs w:val="20"/>
          <w:lang w:val="en-US"/>
        </w:rPr>
      </w:pPr>
      <w:r w:rsidRPr="00407A87">
        <w:rPr>
          <w:rFonts w:ascii="Times New Roman" w:hAnsi="Times New Roman" w:cs="Times New Roman"/>
          <w:sz w:val="20"/>
          <w:szCs w:val="20"/>
          <w:lang w:val="en-US"/>
        </w:rPr>
        <w:t>MODULE 4: In-depth investigation:</w:t>
      </w:r>
      <w:r w:rsidRPr="00407A87">
        <w:rPr>
          <w:rFonts w:ascii="Times New Roman" w:hAnsi="Times New Roman" w:cs="Times New Roman"/>
          <w:i/>
          <w:sz w:val="20"/>
          <w:szCs w:val="20"/>
          <w:lang w:val="en-US"/>
        </w:rPr>
        <w:t xml:space="preserve"> Robotics</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What is a robot?</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A robot taxonomy</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Biological robotics</w:t>
      </w:r>
    </w:p>
    <w:p w:rsidR="00407A87" w:rsidRPr="00407A87" w:rsidRDefault="00407A87" w:rsidP="00407A87">
      <w:pPr>
        <w:rPr>
          <w:rFonts w:ascii="Times New Roman" w:hAnsi="Times New Roman" w:cs="Times New Roman"/>
          <w:sz w:val="20"/>
          <w:szCs w:val="20"/>
          <w:lang w:val="en-US"/>
        </w:rPr>
      </w:pPr>
      <w:r w:rsidRPr="00407A87">
        <w:rPr>
          <w:rFonts w:ascii="Times New Roman" w:hAnsi="Times New Roman" w:cs="Times New Roman"/>
          <w:sz w:val="20"/>
          <w:szCs w:val="20"/>
          <w:lang w:val="en-US"/>
        </w:rPr>
        <w:t>Humanoid and android robots</w:t>
      </w:r>
    </w:p>
    <w:p w:rsidR="00ED4983" w:rsidRPr="00ED4983" w:rsidRDefault="00ED4983" w:rsidP="00ED4983">
      <w:pPr>
        <w:spacing w:before="240" w:after="120"/>
        <w:rPr>
          <w:rFonts w:ascii="Times New Roman" w:hAnsi="Times New Roman" w:cs="Times New Roman"/>
          <w:b/>
          <w:i/>
          <w:sz w:val="18"/>
          <w:lang w:val="it-IT"/>
        </w:rPr>
      </w:pPr>
      <w:r w:rsidRPr="00ED4983">
        <w:rPr>
          <w:rFonts w:ascii="Times New Roman" w:hAnsi="Times New Roman" w:cs="Times New Roman"/>
          <w:b/>
          <w:i/>
          <w:sz w:val="18"/>
          <w:lang w:val="it-IT"/>
        </w:rPr>
        <w:t>READING LIST</w:t>
      </w:r>
    </w:p>
    <w:p w:rsidR="00ED4983" w:rsidRPr="00ED4983" w:rsidRDefault="00ED4983" w:rsidP="00ED4983">
      <w:pPr>
        <w:pStyle w:val="Testo1"/>
        <w:spacing w:before="0"/>
        <w:rPr>
          <w:rFonts w:eastAsia="PilGi"/>
        </w:rPr>
      </w:pPr>
      <w:r w:rsidRPr="00ED4983">
        <w:rPr>
          <w:rFonts w:eastAsia="PilGi"/>
        </w:rPr>
        <w:t>Gaj, N., LO Dico, G. (a cura di). Essays on the philosophy of science. Antohology of essays available at Normadec, Catholic University, Largo Gemelli 1.</w:t>
      </w:r>
    </w:p>
    <w:p w:rsidR="00ED4983" w:rsidRPr="00ED4983" w:rsidRDefault="00ED4983" w:rsidP="00ED4983">
      <w:pPr>
        <w:pStyle w:val="Testo1"/>
        <w:spacing w:before="0"/>
      </w:pPr>
      <w:r w:rsidRPr="00ED4983">
        <w:rPr>
          <w:rFonts w:eastAsia="PilGi"/>
        </w:rPr>
        <w:t>Gaj, N., Lo Dico, G. (a cura di). Robotics. Anthology of essays available at Normadec, Catholic University, Largo Gemelli 1.</w:t>
      </w:r>
    </w:p>
    <w:p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TEACHING METHOD</w:t>
      </w:r>
    </w:p>
    <w:p w:rsidR="00ED4983" w:rsidRDefault="00ED4983" w:rsidP="00ED4983">
      <w:pPr>
        <w:pStyle w:val="Testo2"/>
        <w:rPr>
          <w:lang w:val="en-US"/>
        </w:rPr>
      </w:pPr>
      <w:r w:rsidRPr="00ED4983">
        <w:rPr>
          <w:lang w:val="en-US"/>
        </w:rPr>
        <w:t xml:space="preserve">Classroom lessons </w:t>
      </w:r>
    </w:p>
    <w:p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lastRenderedPageBreak/>
        <w:t>ASSESSMENT METHOD AND CRITERIA</w:t>
      </w:r>
    </w:p>
    <w:p w:rsidR="00ED4983" w:rsidRPr="00ED4983" w:rsidRDefault="00ED4983" w:rsidP="00ED4983">
      <w:pPr>
        <w:pStyle w:val="Testo2"/>
        <w:rPr>
          <w:lang w:val="en-US"/>
        </w:rPr>
      </w:pPr>
      <w:r w:rsidRPr="00ED4983">
        <w:rPr>
          <w:lang w:val="en-US"/>
        </w:rPr>
        <w:t xml:space="preserve">The examination takes place in oral form and consists of questions from the four parts of the course. </w:t>
      </w:r>
    </w:p>
    <w:p w:rsidR="00ED4983" w:rsidRPr="006F01D7" w:rsidRDefault="00ED4983" w:rsidP="00ED4983">
      <w:pPr>
        <w:pStyle w:val="Testo2"/>
      </w:pPr>
      <w:r>
        <w:t xml:space="preserve">It aims to </w:t>
      </w:r>
      <w:r w:rsidRPr="006F01D7">
        <w:t>assess the degree to which student</w:t>
      </w:r>
      <w:r>
        <w:t>s</w:t>
      </w:r>
      <w:r w:rsidRPr="006F01D7">
        <w:t xml:space="preserve"> ha</w:t>
      </w:r>
      <w:r>
        <w:t>ve</w:t>
      </w:r>
      <w:r w:rsidRPr="006F01D7">
        <w:t xml:space="preserve"> succeeded in assimilating the contents of the course</w:t>
      </w:r>
      <w:r>
        <w:t xml:space="preserve"> and</w:t>
      </w:r>
      <w:r w:rsidRPr="006F01D7">
        <w:t xml:space="preserve"> grasp</w:t>
      </w:r>
      <w:r>
        <w:t>ed</w:t>
      </w:r>
      <w:r w:rsidRPr="006F01D7">
        <w:t xml:space="preserve"> the specificity of the epistemological point of view in examining the various psy</w:t>
      </w:r>
      <w:r>
        <w:t xml:space="preserve">chological models. To this end, specific consideration will be given to the </w:t>
      </w:r>
      <w:r w:rsidRPr="00596789">
        <w:t xml:space="preserve">ability to present and critically elaborate the arguments </w:t>
      </w:r>
      <w:r>
        <w:t xml:space="preserve">presented </w:t>
      </w:r>
      <w:r w:rsidRPr="00596789">
        <w:t xml:space="preserve">and to argue and critically </w:t>
      </w:r>
      <w:r>
        <w:t>assess</w:t>
      </w:r>
      <w:r w:rsidRPr="00596789">
        <w:t xml:space="preserve"> problems.</w:t>
      </w:r>
    </w:p>
    <w:p w:rsidR="00ED4983" w:rsidRPr="00ED4983" w:rsidRDefault="00ED4983" w:rsidP="00ED4983">
      <w:pPr>
        <w:spacing w:before="240" w:after="120"/>
        <w:rPr>
          <w:rFonts w:ascii="Times New Roman" w:hAnsi="Times New Roman" w:cs="Times New Roman"/>
          <w:b/>
          <w:i/>
          <w:sz w:val="18"/>
          <w:lang w:val="en-US"/>
        </w:rPr>
      </w:pPr>
      <w:r w:rsidRPr="00ED4983">
        <w:rPr>
          <w:rFonts w:ascii="Times New Roman" w:hAnsi="Times New Roman" w:cs="Times New Roman"/>
          <w:b/>
          <w:i/>
          <w:sz w:val="18"/>
          <w:lang w:val="en-US"/>
        </w:rPr>
        <w:t>NOTES AND PREREQUISITES</w:t>
      </w:r>
    </w:p>
    <w:p w:rsidR="00ED4983" w:rsidRPr="00ED4983" w:rsidRDefault="00ED4983" w:rsidP="00ED4983">
      <w:pPr>
        <w:pStyle w:val="Testo2"/>
        <w:rPr>
          <w:lang w:val="en-US"/>
        </w:rPr>
      </w:pPr>
      <w:r w:rsidRPr="00ED4983">
        <w:rPr>
          <w:lang w:val="en-US"/>
        </w:rPr>
        <w:t>No prerequisites are required.</w:t>
      </w:r>
    </w:p>
    <w:p w:rsidR="00ED4983" w:rsidRPr="006C2684" w:rsidRDefault="00ED4983" w:rsidP="00ED4983">
      <w:pPr>
        <w:pStyle w:val="Testo2"/>
      </w:pPr>
      <w:r w:rsidRPr="006C2684">
        <w:t>In case the current Covid-19 health emergency does not allow frontal teaching, remote teaching will be carried out following procedures that will be promptly notified to students</w:t>
      </w:r>
      <w:r>
        <w:t>.</w:t>
      </w:r>
    </w:p>
    <w:p w:rsidR="00ED4983" w:rsidRPr="00ED4983" w:rsidRDefault="00ED4983" w:rsidP="00ED4983">
      <w:pPr>
        <w:pStyle w:val="Testo2"/>
        <w:spacing w:before="120"/>
        <w:rPr>
          <w:i/>
          <w:lang w:val="en-US"/>
        </w:rPr>
      </w:pPr>
      <w:r w:rsidRPr="00ED4983">
        <w:rPr>
          <w:i/>
          <w:lang w:val="en-US"/>
        </w:rPr>
        <w:t>Office hours</w:t>
      </w:r>
    </w:p>
    <w:p w:rsidR="00ED4983" w:rsidRPr="00ED4983" w:rsidRDefault="00ED4983" w:rsidP="00ED4983">
      <w:pPr>
        <w:pStyle w:val="Testo2"/>
        <w:rPr>
          <w:lang w:val="en-US"/>
        </w:rPr>
      </w:pPr>
      <w:r w:rsidRPr="00ED4983">
        <w:rPr>
          <w:lang w:val="en-US"/>
        </w:rPr>
        <w:t>By appointment, professors meet the students before or after the lessons.</w:t>
      </w:r>
      <w:bookmarkStart w:id="0" w:name="_GoBack"/>
      <w:bookmarkEnd w:id="0"/>
    </w:p>
    <w:sectPr w:rsidR="00ED4983" w:rsidRPr="00ED49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7A"/>
    <w:rsid w:val="00187B99"/>
    <w:rsid w:val="002014DD"/>
    <w:rsid w:val="002D5E17"/>
    <w:rsid w:val="00407A8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D404F2"/>
    <w:rsid w:val="00E0287A"/>
    <w:rsid w:val="00E607E6"/>
    <w:rsid w:val="00ED4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A41C4"/>
  <w15:chartTrackingRefBased/>
  <w15:docId w15:val="{72CABC03-DFEA-451C-A182-F363194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A87"/>
    <w:rPr>
      <w:rFonts w:asciiTheme="minorHAnsi" w:eastAsiaTheme="minorHAnsi" w:hAnsiTheme="minorHAnsi" w:cstheme="minorBidi"/>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07A87"/>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rsid w:val="00407A87"/>
    <w:pPr>
      <w:tabs>
        <w:tab w:val="center" w:pos="4153"/>
        <w:tab w:val="right" w:pos="8306"/>
      </w:tabs>
    </w:pPr>
    <w:rPr>
      <w:rFonts w:ascii="Times" w:eastAsia="Times" w:hAnsi="Times" w:cs="Times New Roman"/>
      <w:noProof/>
      <w:lang w:eastAsia="it-IT"/>
    </w:rPr>
  </w:style>
  <w:style w:type="character" w:customStyle="1" w:styleId="IntestazioneCarattere">
    <w:name w:val="Intestazione Carattere"/>
    <w:basedOn w:val="Carpredefinitoparagrafo"/>
    <w:link w:val="Intestazione"/>
    <w:rsid w:val="00407A87"/>
    <w:rPr>
      <w:rFonts w:ascii="Times" w:eastAsia="Times" w:hAnsi="Times"/>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1453-EDE4-4DD4-92BD-435AA20B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652</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2020-05-13T10:44:00Z</dcterms:created>
  <dcterms:modified xsi:type="dcterms:W3CDTF">2020-05-13T11:07:00Z</dcterms:modified>
</cp:coreProperties>
</file>