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DC" w:rsidRPr="000A6A09" w:rsidRDefault="005A3F7F">
      <w:pPr>
        <w:pStyle w:val="Titolo1"/>
        <w:rPr>
          <w:noProof w:val="0"/>
        </w:rPr>
      </w:pPr>
      <w:r w:rsidRPr="000A6A09">
        <w:rPr>
          <w:noProof w:val="0"/>
        </w:rPr>
        <w:t>Fundament</w:t>
      </w:r>
      <w:r>
        <w:rPr>
          <w:noProof w:val="0"/>
        </w:rPr>
        <w:t>als</w:t>
      </w:r>
      <w:r w:rsidRPr="000A6A09">
        <w:rPr>
          <w:noProof w:val="0"/>
        </w:rPr>
        <w:t xml:space="preserve"> </w:t>
      </w:r>
      <w:r w:rsidR="00394CC4" w:rsidRPr="000A6A09">
        <w:rPr>
          <w:noProof w:val="0"/>
        </w:rPr>
        <w:t>of Neurobiology and Genetics</w:t>
      </w:r>
      <w:r w:rsidR="006F6989">
        <w:rPr>
          <w:noProof w:val="0"/>
        </w:rPr>
        <w:t xml:space="preserve"> </w:t>
      </w:r>
    </w:p>
    <w:p w:rsidR="00BD12DC" w:rsidRPr="000A6A09" w:rsidRDefault="00394CC4" w:rsidP="00641C39">
      <w:pPr>
        <w:pStyle w:val="Titolo2"/>
        <w:spacing w:after="120"/>
        <w:rPr>
          <w:noProof w:val="0"/>
        </w:rPr>
      </w:pPr>
      <w:proofErr w:type="spellStart"/>
      <w:r w:rsidRPr="000A6A09">
        <w:rPr>
          <w:noProof w:val="0"/>
        </w:rPr>
        <w:t>Prof.</w:t>
      </w:r>
      <w:proofErr w:type="spellEnd"/>
      <w:r w:rsidRPr="000A6A09">
        <w:rPr>
          <w:noProof w:val="0"/>
        </w:rPr>
        <w:t xml:space="preserve"> </w:t>
      </w:r>
      <w:r w:rsidR="00AB29F2">
        <w:rPr>
          <w:noProof w:val="0"/>
        </w:rPr>
        <w:t xml:space="preserve">Sara </w:t>
      </w:r>
      <w:proofErr w:type="spellStart"/>
      <w:r w:rsidR="00AB29F2">
        <w:rPr>
          <w:noProof w:val="0"/>
        </w:rPr>
        <w:t>Missaglia</w:t>
      </w:r>
      <w:proofErr w:type="spellEnd"/>
      <w:r w:rsidR="00AB29F2">
        <w:rPr>
          <w:noProof w:val="0"/>
        </w:rPr>
        <w:t xml:space="preserve">; </w:t>
      </w:r>
      <w:proofErr w:type="spellStart"/>
      <w:r w:rsidR="00AB29F2">
        <w:rPr>
          <w:noProof w:val="0"/>
        </w:rPr>
        <w:t>Prof.</w:t>
      </w:r>
      <w:proofErr w:type="spellEnd"/>
      <w:r w:rsidR="00AB29F2">
        <w:rPr>
          <w:noProof w:val="0"/>
        </w:rPr>
        <w:t xml:space="preserve"> </w:t>
      </w:r>
      <w:r w:rsidRPr="000A6A09">
        <w:rPr>
          <w:noProof w:val="0"/>
        </w:rPr>
        <w:t>Daniela Tavian</w:t>
      </w:r>
    </w:p>
    <w:p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1D71F4">
        <w:rPr>
          <w:b/>
          <w:i/>
          <w:sz w:val="18"/>
          <w:lang w:val="en-US"/>
        </w:rPr>
        <w:t>INTENDED</w:t>
      </w:r>
      <w:r w:rsidRPr="000A6A09">
        <w:rPr>
          <w:b/>
          <w:i/>
          <w:sz w:val="18"/>
          <w:lang w:val="en-US"/>
        </w:rPr>
        <w:t xml:space="preserve"> LEARNING OUTCOMES </w:t>
      </w:r>
    </w:p>
    <w:p w:rsidR="00E90A0B" w:rsidRPr="000A6A09" w:rsidRDefault="00BC70C3" w:rsidP="00E90A0B">
      <w:pPr>
        <w:spacing w:line="240" w:lineRule="exact"/>
        <w:rPr>
          <w:lang w:val="en-US"/>
        </w:rPr>
      </w:pPr>
      <w:r w:rsidRPr="000A6A09">
        <w:rPr>
          <w:lang w:val="en-US"/>
        </w:rPr>
        <w:t xml:space="preserve">The course aims to guide students towards a general understanding of the properties of living material, the biological structure and meaning of the macro-molecules of life, of metabolism and cellular </w:t>
      </w:r>
      <w:proofErr w:type="spellStart"/>
      <w:r w:rsidRPr="000A6A09">
        <w:rPr>
          <w:lang w:val="en-US"/>
        </w:rPr>
        <w:t>organisation</w:t>
      </w:r>
      <w:proofErr w:type="spellEnd"/>
      <w:r w:rsidR="00E90A0B" w:rsidRPr="000A6A09">
        <w:rPr>
          <w:lang w:val="en-US"/>
        </w:rPr>
        <w:t xml:space="preserve">, </w:t>
      </w:r>
      <w:r w:rsidRPr="000A6A09">
        <w:rPr>
          <w:lang w:val="en-US"/>
        </w:rPr>
        <w:t>while placing particular emphasis on the structure and workings of neuronal cells</w:t>
      </w:r>
      <w:r w:rsidR="00E90A0B" w:rsidRPr="000A6A09">
        <w:rPr>
          <w:lang w:val="en-US"/>
        </w:rPr>
        <w:t>. S</w:t>
      </w:r>
      <w:r w:rsidRPr="000A6A09">
        <w:rPr>
          <w:lang w:val="en-US"/>
        </w:rPr>
        <w:t>tudents will discuss the laws of transmission of hereditary characters and connected molecular mechanisms</w:t>
      </w:r>
      <w:r w:rsidR="00AF05E9" w:rsidRPr="000A6A09">
        <w:rPr>
          <w:lang w:val="en-US"/>
        </w:rPr>
        <w:t>, as well as the</w:t>
      </w:r>
      <w:r w:rsidRPr="000A6A09">
        <w:rPr>
          <w:lang w:val="en-US"/>
        </w:rPr>
        <w:t xml:space="preserve"> neurobiological basis of </w:t>
      </w:r>
      <w:r w:rsidR="006F6989">
        <w:rPr>
          <w:lang w:val="en-US"/>
        </w:rPr>
        <w:t>some</w:t>
      </w:r>
      <w:r w:rsidRPr="000A6A09">
        <w:rPr>
          <w:lang w:val="en-US"/>
        </w:rPr>
        <w:t xml:space="preserve"> human diseases and normal and pathological </w:t>
      </w:r>
      <w:proofErr w:type="spellStart"/>
      <w:r w:rsidRPr="000A6A09">
        <w:rPr>
          <w:lang w:val="en-US"/>
        </w:rPr>
        <w:t>behaviour</w:t>
      </w:r>
      <w:proofErr w:type="spellEnd"/>
      <w:r w:rsidR="00E90A0B" w:rsidRPr="000A6A09">
        <w:rPr>
          <w:lang w:val="en-US"/>
        </w:rPr>
        <w:t>. L</w:t>
      </w:r>
      <w:r w:rsidR="005572EB" w:rsidRPr="000A6A09">
        <w:rPr>
          <w:lang w:val="en-US"/>
        </w:rPr>
        <w:t>astly, the course will introduce students to a rudimentary understanding of human neuroanatomy</w:t>
      </w:r>
      <w:r w:rsidR="00E90A0B" w:rsidRPr="000A6A09">
        <w:rPr>
          <w:lang w:val="en-US"/>
        </w:rPr>
        <w:t xml:space="preserve">, </w:t>
      </w:r>
      <w:r w:rsidR="005572EB" w:rsidRPr="000A6A09">
        <w:rPr>
          <w:lang w:val="en-US"/>
        </w:rPr>
        <w:t>while providing the necessary basis for understanding detailed information later</w:t>
      </w:r>
      <w:r w:rsidR="006F6989">
        <w:rPr>
          <w:lang w:val="en-US"/>
        </w:rPr>
        <w:t xml:space="preserve"> in other courses</w:t>
      </w:r>
      <w:r w:rsidR="00E90A0B" w:rsidRPr="000A6A09">
        <w:rPr>
          <w:lang w:val="en-US"/>
        </w:rPr>
        <w:t>.</w:t>
      </w:r>
    </w:p>
    <w:p w:rsidR="00E90A0B" w:rsidRPr="000A6A09" w:rsidRDefault="00073D97" w:rsidP="00E90A0B">
      <w:pPr>
        <w:spacing w:before="120" w:line="240" w:lineRule="exact"/>
        <w:rPr>
          <w:lang w:val="en-US"/>
        </w:rPr>
      </w:pPr>
      <w:r w:rsidRPr="000A6A09">
        <w:rPr>
          <w:lang w:val="en-US"/>
        </w:rPr>
        <w:t>At the end of the course students will be able to</w:t>
      </w:r>
      <w:r w:rsidR="00E90A0B" w:rsidRPr="000A6A09">
        <w:rPr>
          <w:lang w:val="en-US"/>
        </w:rPr>
        <w:t>:</w:t>
      </w:r>
    </w:p>
    <w:p w:rsidR="00E90A0B" w:rsidRPr="000A6A09" w:rsidRDefault="00714A9B" w:rsidP="00E90A0B">
      <w:pPr>
        <w:pStyle w:val="Paragrafoelenco"/>
        <w:numPr>
          <w:ilvl w:val="0"/>
          <w:numId w:val="2"/>
        </w:numPr>
        <w:spacing w:line="240" w:lineRule="exact"/>
        <w:ind w:left="284" w:hanging="284"/>
        <w:rPr>
          <w:lang w:val="en-US"/>
        </w:rPr>
      </w:pPr>
      <w:r w:rsidRPr="000A6A09">
        <w:rPr>
          <w:lang w:val="en-US"/>
        </w:rPr>
        <w:t>Identify and understand the biochemical bas</w:t>
      </w:r>
      <w:r w:rsidR="006F6989">
        <w:rPr>
          <w:lang w:val="en-US"/>
        </w:rPr>
        <w:t>es</w:t>
      </w:r>
      <w:r w:rsidRPr="000A6A09">
        <w:rPr>
          <w:lang w:val="en-US"/>
        </w:rPr>
        <w:t xml:space="preserve"> of biological systems and processes</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Understand and describe the relationship between structure and function </w:t>
      </w:r>
      <w:r w:rsidR="000A6A09">
        <w:rPr>
          <w:lang w:val="en-US"/>
        </w:rPr>
        <w:t xml:space="preserve">within </w:t>
      </w:r>
      <w:r w:rsidRPr="000A6A09">
        <w:rPr>
          <w:lang w:val="en-US"/>
        </w:rPr>
        <w:t>informational macro-molecules (nucleic acids, proteins</w:t>
      </w:r>
      <w:r w:rsidR="00E90A0B" w:rsidRPr="000A6A09">
        <w:rPr>
          <w:lang w:val="en-US"/>
        </w:rPr>
        <w:t xml:space="preserve">); </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main laws of transmission of hereditary characters in man</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Learn the ability to solve biological problems </w:t>
      </w:r>
      <w:r w:rsidR="006F6989">
        <w:rPr>
          <w:lang w:val="en-US"/>
        </w:rPr>
        <w:t>inherent</w:t>
      </w:r>
      <w:r w:rsidRPr="000A6A09">
        <w:rPr>
          <w:lang w:val="en-US"/>
        </w:rPr>
        <w:t xml:space="preserve"> </w:t>
      </w:r>
      <w:r w:rsidR="006F6989">
        <w:rPr>
          <w:lang w:val="en-US"/>
        </w:rPr>
        <w:t xml:space="preserve">to </w:t>
      </w:r>
      <w:r w:rsidRPr="000A6A09">
        <w:rPr>
          <w:lang w:val="en-US"/>
        </w:rPr>
        <w:t>the analysis of the metabolism and genetic heritage</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workings of neurons</w:t>
      </w:r>
      <w:r w:rsidR="00951660" w:rsidRPr="000A6A09">
        <w:rPr>
          <w:lang w:val="en-US"/>
        </w:rPr>
        <w:t xml:space="preserve"> and the main neuroanatomical structures</w:t>
      </w:r>
      <w:r w:rsidR="00E90A0B" w:rsidRPr="000A6A09">
        <w:rPr>
          <w:lang w:val="en-US"/>
        </w:rPr>
        <w:t>;</w:t>
      </w:r>
    </w:p>
    <w:p w:rsidR="00E90A0B" w:rsidRPr="000A6A09" w:rsidRDefault="00BB14CA" w:rsidP="00E90A0B">
      <w:pPr>
        <w:pStyle w:val="Paragrafoelenco"/>
        <w:numPr>
          <w:ilvl w:val="0"/>
          <w:numId w:val="2"/>
        </w:numPr>
        <w:spacing w:line="240" w:lineRule="exact"/>
        <w:ind w:left="284" w:hanging="284"/>
        <w:rPr>
          <w:lang w:val="en-US"/>
        </w:rPr>
      </w:pPr>
      <w:r w:rsidRPr="000A6A09">
        <w:rPr>
          <w:lang w:val="en-US"/>
        </w:rPr>
        <w:t xml:space="preserve">Correctly </w:t>
      </w:r>
      <w:proofErr w:type="spellStart"/>
      <w:r w:rsidRPr="000A6A09">
        <w:rPr>
          <w:lang w:val="en-US"/>
        </w:rPr>
        <w:t>contextualise</w:t>
      </w:r>
      <w:proofErr w:type="spellEnd"/>
      <w:r w:rsidRPr="000A6A09">
        <w:rPr>
          <w:lang w:val="en-US"/>
        </w:rPr>
        <w:t xml:space="preserve"> notions of biology and human genetics and critically assess neuro-cognitive and genetic studies</w:t>
      </w:r>
      <w:r w:rsidR="00E90A0B" w:rsidRPr="000A6A09">
        <w:rPr>
          <w:lang w:val="en-US"/>
        </w:rPr>
        <w:t>;</w:t>
      </w:r>
    </w:p>
    <w:p w:rsidR="00E90A0B" w:rsidRPr="000A6A09" w:rsidRDefault="00BB14CA" w:rsidP="00E90A0B">
      <w:pPr>
        <w:pStyle w:val="Paragrafoelenco"/>
        <w:numPr>
          <w:ilvl w:val="0"/>
          <w:numId w:val="2"/>
        </w:numPr>
        <w:spacing w:line="240" w:lineRule="exact"/>
        <w:ind w:left="284" w:hanging="284"/>
        <w:rPr>
          <w:lang w:val="en-US"/>
        </w:rPr>
      </w:pPr>
      <w:r w:rsidRPr="000A6A09">
        <w:rPr>
          <w:lang w:val="en-US"/>
        </w:rPr>
        <w:t>Implement and update personal knowledge by independently referring to scientific texts, articles</w:t>
      </w:r>
      <w:r w:rsidR="00E90A0B" w:rsidRPr="000A6A09">
        <w:rPr>
          <w:lang w:val="en-US"/>
        </w:rPr>
        <w:t xml:space="preserve"> </w:t>
      </w:r>
      <w:r w:rsidRPr="000A6A09">
        <w:rPr>
          <w:lang w:val="en-US"/>
        </w:rPr>
        <w:t>and online platforms</w:t>
      </w:r>
      <w:r w:rsidR="00E90A0B" w:rsidRPr="000A6A09">
        <w:rPr>
          <w:lang w:val="en-US"/>
        </w:rPr>
        <w:t>;</w:t>
      </w:r>
    </w:p>
    <w:p w:rsidR="00E90A0B" w:rsidRPr="000A6A09" w:rsidRDefault="000A6A09" w:rsidP="00E90A0B">
      <w:pPr>
        <w:pStyle w:val="Paragrafoelenco"/>
        <w:numPr>
          <w:ilvl w:val="0"/>
          <w:numId w:val="2"/>
        </w:numPr>
        <w:spacing w:line="240" w:lineRule="exact"/>
        <w:ind w:left="284" w:hanging="284"/>
        <w:rPr>
          <w:lang w:val="en-US"/>
        </w:rPr>
      </w:pPr>
      <w:r>
        <w:rPr>
          <w:lang w:val="en-US"/>
        </w:rPr>
        <w:t>Describe/communicate</w:t>
      </w:r>
      <w:r w:rsidR="00BB14CA" w:rsidRPr="000A6A09">
        <w:rPr>
          <w:lang w:val="en-US"/>
        </w:rPr>
        <w:t xml:space="preserve"> neuro-biological</w:t>
      </w:r>
      <w:r w:rsidR="00E90A0B" w:rsidRPr="000A6A09">
        <w:rPr>
          <w:lang w:val="en-US"/>
        </w:rPr>
        <w:t xml:space="preserve"> </w:t>
      </w:r>
      <w:r w:rsidR="00BB14CA" w:rsidRPr="000A6A09">
        <w:rPr>
          <w:lang w:val="en-US"/>
        </w:rPr>
        <w:t>and genetic knowledge accurately, also to non-experts using scientifically correct language and terminology</w:t>
      </w:r>
      <w:r w:rsidR="00E90A0B" w:rsidRPr="000A6A09">
        <w:rPr>
          <w:lang w:val="en-US"/>
        </w:rPr>
        <w:t>.</w:t>
      </w:r>
    </w:p>
    <w:p w:rsidR="00BD12DC" w:rsidRPr="000A6A09" w:rsidRDefault="00394CC4" w:rsidP="00CB1322">
      <w:pPr>
        <w:spacing w:before="240" w:after="120" w:line="240" w:lineRule="exact"/>
        <w:rPr>
          <w:b/>
          <w:i/>
          <w:sz w:val="18"/>
        </w:rPr>
      </w:pPr>
      <w:r w:rsidRPr="000A6A09">
        <w:rPr>
          <w:b/>
          <w:i/>
          <w:sz w:val="18"/>
        </w:rPr>
        <w:t>COURSE CONTENT</w:t>
      </w:r>
    </w:p>
    <w:p w:rsidR="00D730C7" w:rsidRPr="00AB29F2" w:rsidRDefault="00D730C7" w:rsidP="00D730C7">
      <w:pPr>
        <w:rPr>
          <w:sz w:val="18"/>
        </w:rPr>
      </w:pPr>
      <w:r w:rsidRPr="00AB29F2">
        <w:rPr>
          <w:sz w:val="18"/>
        </w:rPr>
        <w:t>MODULE 1</w:t>
      </w:r>
    </w:p>
    <w:p w:rsidR="00BD12DC" w:rsidRPr="00B721BF" w:rsidRDefault="00D730C7" w:rsidP="00B721BF">
      <w:pPr>
        <w:rPr>
          <w:u w:val="single"/>
        </w:rPr>
      </w:pPr>
      <w:r w:rsidRPr="00B721BF">
        <w:rPr>
          <w:u w:val="single"/>
        </w:rPr>
        <w:t xml:space="preserve">Unit 1: </w:t>
      </w:r>
      <w:r w:rsidR="00394CC4" w:rsidRPr="00B721BF">
        <w:rPr>
          <w:u w:val="single"/>
        </w:rPr>
        <w:t>The study of living nature</w:t>
      </w:r>
    </w:p>
    <w:p w:rsidR="00BD12DC" w:rsidRDefault="009504E5" w:rsidP="00AB29F2">
      <w:pPr>
        <w:ind w:left="567" w:hanging="283"/>
      </w:pPr>
      <w:r>
        <w:t xml:space="preserve">- </w:t>
      </w:r>
      <w:r w:rsidR="00AB29F2">
        <w:tab/>
      </w:r>
      <w:r w:rsidR="00394CC4" w:rsidRPr="000A6A09">
        <w:t>The experimental method: development, needs and limits</w:t>
      </w:r>
    </w:p>
    <w:p w:rsidR="00B721BF" w:rsidRDefault="009504E5" w:rsidP="00AB29F2">
      <w:pPr>
        <w:ind w:left="567" w:hanging="283"/>
      </w:pPr>
      <w:r>
        <w:t xml:space="preserve">- </w:t>
      </w:r>
      <w:r w:rsidR="00AB29F2">
        <w:tab/>
      </w:r>
      <w:r w:rsidR="00394CC4" w:rsidRPr="000A6A09">
        <w:t>Living organisms: the life cycle, reproduction, homeostasis, and</w:t>
      </w:r>
    </w:p>
    <w:p w:rsidR="00BD12DC" w:rsidRDefault="00394CC4" w:rsidP="00AB29F2">
      <w:pPr>
        <w:ind w:left="567"/>
      </w:pPr>
      <w:r w:rsidRPr="000A6A09">
        <w:t>interaction with the environment</w:t>
      </w:r>
    </w:p>
    <w:p w:rsidR="00D730C7" w:rsidRPr="00FA1E9B" w:rsidRDefault="00D730C7" w:rsidP="001618E4">
      <w:pPr>
        <w:spacing w:before="120"/>
        <w:rPr>
          <w:u w:val="single"/>
        </w:rPr>
      </w:pPr>
      <w:r w:rsidRPr="00FA1E9B">
        <w:rPr>
          <w:u w:val="single"/>
        </w:rPr>
        <w:lastRenderedPageBreak/>
        <w:t>Unit 2:</w:t>
      </w:r>
      <w:r w:rsidR="001618E4">
        <w:rPr>
          <w:u w:val="single"/>
        </w:rPr>
        <w:t xml:space="preserve"> </w:t>
      </w:r>
      <w:r w:rsidRPr="00FA1E9B">
        <w:rPr>
          <w:u w:val="single"/>
        </w:rPr>
        <w:t>The molecular bases</w:t>
      </w:r>
      <w:r w:rsidR="001618E4">
        <w:rPr>
          <w:u w:val="single"/>
        </w:rPr>
        <w:t xml:space="preserve"> of life</w:t>
      </w:r>
    </w:p>
    <w:p w:rsidR="00D730C7" w:rsidRPr="00FA1E9B" w:rsidRDefault="00FA1E9B" w:rsidP="00AB29F2">
      <w:pPr>
        <w:ind w:left="567" w:hanging="284"/>
      </w:pPr>
      <w:r>
        <w:t xml:space="preserve">- </w:t>
      </w:r>
      <w:r w:rsidR="00AB29F2">
        <w:tab/>
      </w:r>
      <w:r w:rsidR="00D730C7" w:rsidRPr="00FA1E9B">
        <w:t>The principal elements and classes of compounds found in living matter</w:t>
      </w:r>
    </w:p>
    <w:p w:rsidR="00D730C7" w:rsidRPr="00FA1E9B" w:rsidRDefault="00FA1E9B" w:rsidP="00AB29F2">
      <w:pPr>
        <w:ind w:left="567" w:hanging="284"/>
      </w:pPr>
      <w:r>
        <w:t xml:space="preserve">- </w:t>
      </w:r>
      <w:r w:rsidR="00AB29F2">
        <w:tab/>
      </w:r>
      <w:r w:rsidR="00D730C7" w:rsidRPr="00FA1E9B">
        <w:t>The informational macromolecules: DNA, RNA and protein, the structure-function relationship</w:t>
      </w:r>
    </w:p>
    <w:p w:rsidR="009B3BDD" w:rsidRPr="00717208" w:rsidRDefault="00FA1E9B" w:rsidP="00AB29F2">
      <w:pPr>
        <w:ind w:left="567" w:hanging="284"/>
      </w:pPr>
      <w:r>
        <w:t xml:space="preserve">- </w:t>
      </w:r>
      <w:r w:rsidR="00AB29F2">
        <w:tab/>
      </w:r>
      <w:r w:rsidR="009B3BDD" w:rsidRPr="00FA1E9B">
        <w:t>Molecular genetics: from the structure of nucleic acids to maps of the human genome</w:t>
      </w:r>
    </w:p>
    <w:p w:rsidR="00BD12DC" w:rsidRPr="00FA1E9B" w:rsidRDefault="00D730C7" w:rsidP="00CB1322">
      <w:pPr>
        <w:spacing w:before="120"/>
        <w:rPr>
          <w:u w:val="single"/>
        </w:rPr>
      </w:pPr>
      <w:r w:rsidRPr="00FA1E9B">
        <w:rPr>
          <w:u w:val="single"/>
        </w:rPr>
        <w:t xml:space="preserve">Unit 3: The </w:t>
      </w:r>
      <w:r w:rsidR="009104F9">
        <w:rPr>
          <w:u w:val="single"/>
        </w:rPr>
        <w:t>c</w:t>
      </w:r>
      <w:r w:rsidRPr="00FA1E9B">
        <w:rPr>
          <w:u w:val="single"/>
        </w:rPr>
        <w:t>ell</w:t>
      </w:r>
    </w:p>
    <w:p w:rsidR="00BD12DC" w:rsidRPr="00FA1E9B" w:rsidRDefault="00FA1E9B" w:rsidP="00AB29F2">
      <w:pPr>
        <w:ind w:left="567" w:hanging="283"/>
      </w:pPr>
      <w:r>
        <w:t xml:space="preserve">- </w:t>
      </w:r>
      <w:r w:rsidR="00AB29F2">
        <w:tab/>
      </w:r>
      <w:r w:rsidR="00394CC4" w:rsidRPr="00FA1E9B">
        <w:t>The cell: the basic unit of living organisms</w:t>
      </w:r>
    </w:p>
    <w:p w:rsidR="00BD12DC" w:rsidRPr="00FA1E9B" w:rsidRDefault="00FA1E9B" w:rsidP="00AB29F2">
      <w:pPr>
        <w:ind w:left="567" w:hanging="283"/>
      </w:pPr>
      <w:r>
        <w:t xml:space="preserve">- </w:t>
      </w:r>
      <w:r w:rsidR="00AB29F2">
        <w:tab/>
      </w:r>
      <w:r w:rsidR="00394CC4" w:rsidRPr="00FA1E9B">
        <w:t>Cell theory: its origin and development, prokaryotic and eukaryotic cells</w:t>
      </w:r>
    </w:p>
    <w:p w:rsidR="00BD12DC" w:rsidRPr="000A6A09" w:rsidRDefault="00FA1E9B" w:rsidP="00AB29F2">
      <w:pPr>
        <w:ind w:left="567" w:hanging="283"/>
      </w:pPr>
      <w:r>
        <w:t xml:space="preserve">- </w:t>
      </w:r>
      <w:r w:rsidR="00AB29F2">
        <w:tab/>
      </w:r>
      <w:r w:rsidR="00394CC4" w:rsidRPr="00FA1E9B">
        <w:t>The principal cellular organelles: structure and function</w:t>
      </w:r>
    </w:p>
    <w:p w:rsidR="00D730C7" w:rsidRDefault="00D730C7" w:rsidP="00FA1E9B"/>
    <w:p w:rsidR="00D730C7" w:rsidRDefault="00D730C7" w:rsidP="00D730C7">
      <w:pPr>
        <w:rPr>
          <w:u w:val="single"/>
        </w:rPr>
      </w:pPr>
      <w:r w:rsidRPr="00FA1E9B">
        <w:rPr>
          <w:u w:val="single"/>
        </w:rPr>
        <w:t xml:space="preserve">Unit 4: </w:t>
      </w:r>
      <w:r w:rsidR="00394CC4" w:rsidRPr="00FA1E9B">
        <w:rPr>
          <w:u w:val="single"/>
        </w:rPr>
        <w:t>Cell cycle and division</w:t>
      </w:r>
    </w:p>
    <w:p w:rsidR="00BD12DC" w:rsidRPr="00FA1E9B" w:rsidRDefault="00FA1E9B" w:rsidP="00AB29F2">
      <w:pPr>
        <w:ind w:left="567" w:hanging="283"/>
      </w:pPr>
      <w:r>
        <w:t>-</w:t>
      </w:r>
      <w:r w:rsidRPr="00FA1E9B">
        <w:t xml:space="preserve"> </w:t>
      </w:r>
      <w:r w:rsidR="00AB29F2">
        <w:tab/>
      </w:r>
      <w:r w:rsidRPr="00FA1E9B">
        <w:t>M</w:t>
      </w:r>
      <w:r w:rsidR="00394CC4" w:rsidRPr="00FA1E9B">
        <w:t>itosis and meiosis</w:t>
      </w:r>
    </w:p>
    <w:p w:rsidR="00BD12DC" w:rsidRPr="00FA1E9B" w:rsidRDefault="00FA1E9B" w:rsidP="00AB29F2">
      <w:pPr>
        <w:ind w:left="567" w:hanging="283"/>
      </w:pPr>
      <w:r>
        <w:t>-</w:t>
      </w:r>
      <w:r w:rsidRPr="00FA1E9B">
        <w:t xml:space="preserve"> </w:t>
      </w:r>
      <w:r w:rsidR="00AB29F2">
        <w:tab/>
      </w:r>
      <w:r w:rsidR="00394CC4" w:rsidRPr="00FA1E9B">
        <w:t>Control of the cell cycle: restriction points</w:t>
      </w:r>
    </w:p>
    <w:p w:rsidR="00BD12DC" w:rsidRPr="000A6A09" w:rsidRDefault="00FA1E9B" w:rsidP="00AB29F2">
      <w:pPr>
        <w:ind w:left="567" w:hanging="283"/>
      </w:pPr>
      <w:r>
        <w:t>-</w:t>
      </w:r>
      <w:r w:rsidRPr="00FA1E9B">
        <w:t xml:space="preserve"> </w:t>
      </w:r>
      <w:r w:rsidR="00AB29F2">
        <w:tab/>
      </w:r>
      <w:r w:rsidR="00394CC4" w:rsidRPr="00FA1E9B">
        <w:t>The molecular mechanisms of tumour onset and invasiveness</w:t>
      </w:r>
    </w:p>
    <w:p w:rsidR="00D730C7" w:rsidRDefault="00D730C7" w:rsidP="00FA1E9B"/>
    <w:p w:rsidR="00BD12DC" w:rsidRPr="00FA1E9B" w:rsidRDefault="00FA1E9B" w:rsidP="00FA1E9B">
      <w:pPr>
        <w:rPr>
          <w:u w:val="single"/>
        </w:rPr>
      </w:pPr>
      <w:r w:rsidRPr="00FA1E9B">
        <w:rPr>
          <w:u w:val="single"/>
        </w:rPr>
        <w:t>Unit 5</w:t>
      </w:r>
      <w:r w:rsidR="00C73731">
        <w:rPr>
          <w:u w:val="single"/>
        </w:rPr>
        <w:t>:</w:t>
      </w:r>
      <w:r w:rsidRPr="00FA1E9B">
        <w:rPr>
          <w:u w:val="single"/>
        </w:rPr>
        <w:t xml:space="preserve"> </w:t>
      </w:r>
      <w:r w:rsidR="00394CC4" w:rsidRPr="00FA1E9B">
        <w:rPr>
          <w:u w:val="single"/>
        </w:rPr>
        <w:t>Transmission of hereditary characteristics</w:t>
      </w:r>
    </w:p>
    <w:p w:rsidR="00BD12DC" w:rsidRPr="00FA1E9B" w:rsidRDefault="00FA1E9B" w:rsidP="00AB29F2">
      <w:pPr>
        <w:ind w:left="567" w:hanging="283"/>
      </w:pPr>
      <w:r>
        <w:t>-</w:t>
      </w:r>
      <w:r w:rsidRPr="00FA1E9B">
        <w:t xml:space="preserve"> </w:t>
      </w:r>
      <w:r w:rsidR="00AB29F2">
        <w:tab/>
      </w:r>
      <w:r w:rsidR="00394CC4" w:rsidRPr="00FA1E9B">
        <w:t>Mendel's laws and modern genetics</w:t>
      </w:r>
    </w:p>
    <w:p w:rsidR="00BD12DC" w:rsidRPr="00FA1E9B" w:rsidRDefault="00FA1E9B" w:rsidP="00AB29F2">
      <w:pPr>
        <w:ind w:left="567" w:hanging="283"/>
      </w:pPr>
      <w:r>
        <w:t>-</w:t>
      </w:r>
      <w:r w:rsidRPr="00FA1E9B">
        <w:t xml:space="preserve"> </w:t>
      </w:r>
      <w:r w:rsidR="00AB29F2">
        <w:tab/>
      </w:r>
      <w:r w:rsidR="00AB29F2">
        <w:tab/>
      </w:r>
      <w:r w:rsidR="00394CC4" w:rsidRPr="00FA1E9B">
        <w:t xml:space="preserve">Gender determination, </w:t>
      </w:r>
      <w:proofErr w:type="spellStart"/>
      <w:r w:rsidR="00394CC4" w:rsidRPr="00FA1E9B">
        <w:t>heterosomal</w:t>
      </w:r>
      <w:proofErr w:type="spellEnd"/>
      <w:r w:rsidR="00394CC4" w:rsidRPr="00FA1E9B">
        <w:t xml:space="preserve"> inheritance</w:t>
      </w:r>
    </w:p>
    <w:p w:rsidR="00FA1E9B" w:rsidRPr="00FA1E9B" w:rsidRDefault="00FA1E9B" w:rsidP="00AB29F2">
      <w:pPr>
        <w:ind w:left="567" w:hanging="283"/>
      </w:pPr>
      <w:r>
        <w:t>-</w:t>
      </w:r>
      <w:r w:rsidRPr="00FA1E9B">
        <w:t xml:space="preserve"> </w:t>
      </w:r>
      <w:r w:rsidR="00AB29F2">
        <w:tab/>
      </w:r>
      <w:r w:rsidR="00394CC4" w:rsidRPr="00FA1E9B">
        <w:t>Mutations and genetic variability</w:t>
      </w:r>
    </w:p>
    <w:p w:rsidR="00DA66D0" w:rsidRPr="000A6A09" w:rsidRDefault="00FA1E9B" w:rsidP="00AB29F2">
      <w:pPr>
        <w:ind w:left="567" w:hanging="283"/>
      </w:pPr>
      <w:r>
        <w:t xml:space="preserve">- </w:t>
      </w:r>
      <w:r w:rsidR="00AB29F2">
        <w:tab/>
      </w:r>
      <w:r w:rsidR="00394CC4" w:rsidRPr="000A6A09">
        <w:t>Regulation of gene activity</w:t>
      </w:r>
    </w:p>
    <w:p w:rsidR="00FA1E9B" w:rsidRPr="00AB29F2" w:rsidRDefault="00FA1E9B" w:rsidP="00CB1322">
      <w:pPr>
        <w:spacing w:before="120"/>
        <w:rPr>
          <w:sz w:val="18"/>
        </w:rPr>
      </w:pPr>
      <w:r w:rsidRPr="00AB29F2">
        <w:rPr>
          <w:sz w:val="18"/>
        </w:rPr>
        <w:t>MODULE 2</w:t>
      </w:r>
    </w:p>
    <w:p w:rsidR="00BD12DC" w:rsidRPr="00FA1E9B" w:rsidRDefault="00FA1E9B" w:rsidP="00CB1322">
      <w:pPr>
        <w:spacing w:before="120"/>
        <w:rPr>
          <w:u w:val="single"/>
        </w:rPr>
      </w:pPr>
      <w:r w:rsidRPr="00FA1E9B">
        <w:rPr>
          <w:u w:val="single"/>
        </w:rPr>
        <w:t>Unit 1</w:t>
      </w:r>
      <w:r w:rsidR="00C73731">
        <w:rPr>
          <w:u w:val="single"/>
        </w:rPr>
        <w:t>:</w:t>
      </w:r>
      <w:r w:rsidRPr="00FA1E9B">
        <w:rPr>
          <w:u w:val="single"/>
        </w:rPr>
        <w:t xml:space="preserve"> </w:t>
      </w:r>
      <w:r w:rsidR="00394CC4" w:rsidRPr="00FA1E9B">
        <w:rPr>
          <w:u w:val="single"/>
        </w:rPr>
        <w:t>Syndromes from chromosomal aberrations, neurocognitive and genetic aspects</w:t>
      </w:r>
    </w:p>
    <w:p w:rsidR="00FA1E9B" w:rsidRDefault="00FA1E9B" w:rsidP="00AB29F2">
      <w:pPr>
        <w:ind w:left="567" w:hanging="283"/>
      </w:pPr>
      <w:r>
        <w:t xml:space="preserve">- </w:t>
      </w:r>
      <w:r w:rsidR="00AB29F2">
        <w:tab/>
      </w:r>
      <w:r w:rsidR="00394CC4" w:rsidRPr="00D730C7">
        <w:t>The normal and pathological human karyotype</w:t>
      </w:r>
      <w:r>
        <w:t xml:space="preserve"> </w:t>
      </w:r>
    </w:p>
    <w:p w:rsidR="00FA1E9B" w:rsidRDefault="00FA1E9B" w:rsidP="00AB29F2">
      <w:pPr>
        <w:ind w:left="567" w:hanging="283"/>
      </w:pPr>
      <w:r>
        <w:t xml:space="preserve">- </w:t>
      </w:r>
      <w:r w:rsidR="00AB29F2">
        <w:tab/>
      </w:r>
      <w:r w:rsidR="00394CC4" w:rsidRPr="00D730C7">
        <w:t>Autosomal aneuploidies</w:t>
      </w:r>
      <w:r w:rsidR="00394CC4" w:rsidRPr="000A6A09">
        <w:t xml:space="preserve">: Down syndrome, Edwards syndrome and </w:t>
      </w:r>
      <w:proofErr w:type="spellStart"/>
      <w:r w:rsidR="00394CC4" w:rsidRPr="000A6A09">
        <w:t>Patau</w:t>
      </w:r>
      <w:proofErr w:type="spellEnd"/>
      <w:r w:rsidR="00394CC4" w:rsidRPr="000A6A09">
        <w:t xml:space="preserve"> syndrome</w:t>
      </w:r>
      <w:r>
        <w:t xml:space="preserve"> </w:t>
      </w:r>
    </w:p>
    <w:p w:rsidR="00FA1E9B" w:rsidRDefault="00FA1E9B" w:rsidP="00AB29F2">
      <w:pPr>
        <w:ind w:left="567" w:hanging="283"/>
      </w:pPr>
      <w:r>
        <w:t xml:space="preserve">- </w:t>
      </w:r>
      <w:r w:rsidR="00AB29F2">
        <w:tab/>
      </w:r>
      <w:proofErr w:type="spellStart"/>
      <w:r w:rsidR="00394CC4" w:rsidRPr="00D730C7">
        <w:t>Heterosomal</w:t>
      </w:r>
      <w:proofErr w:type="spellEnd"/>
      <w:r w:rsidR="00394CC4" w:rsidRPr="00D730C7">
        <w:t xml:space="preserve"> aneuploidies</w:t>
      </w:r>
      <w:r w:rsidR="00394CC4" w:rsidRPr="000A6A09">
        <w:t xml:space="preserve">: Turner syndrome, </w:t>
      </w:r>
      <w:proofErr w:type="spellStart"/>
      <w:r w:rsidR="00394CC4" w:rsidRPr="000A6A09">
        <w:t>Klinefelter</w:t>
      </w:r>
      <w:proofErr w:type="spellEnd"/>
      <w:r w:rsidR="00394CC4" w:rsidRPr="000A6A09">
        <w:t xml:space="preserve"> syndrome</w:t>
      </w:r>
      <w:r>
        <w:t xml:space="preserve"> </w:t>
      </w:r>
    </w:p>
    <w:p w:rsidR="00C73731" w:rsidRDefault="00C73731" w:rsidP="00AB29F2">
      <w:pPr>
        <w:ind w:left="567" w:hanging="283"/>
        <w:rPr>
          <w:lang w:val="en-US"/>
        </w:rPr>
      </w:pPr>
      <w:r>
        <w:rPr>
          <w:lang w:val="en-US"/>
        </w:rPr>
        <w:t xml:space="preserve">- </w:t>
      </w:r>
      <w:r w:rsidR="00AB29F2">
        <w:rPr>
          <w:lang w:val="en-US"/>
        </w:rPr>
        <w:tab/>
      </w:r>
      <w:r w:rsidR="00394CC4" w:rsidRPr="00C73731">
        <w:rPr>
          <w:lang w:val="en-US"/>
        </w:rPr>
        <w:t>Deletions of chromosomal tracts: Cri-du-chat syndrome</w:t>
      </w:r>
      <w:r>
        <w:rPr>
          <w:lang w:val="en-US"/>
        </w:rPr>
        <w:t xml:space="preserve"> </w:t>
      </w:r>
    </w:p>
    <w:p w:rsidR="000C397A" w:rsidRPr="00C73731" w:rsidRDefault="00C73731" w:rsidP="00AB29F2">
      <w:pPr>
        <w:ind w:left="567" w:hanging="283"/>
        <w:rPr>
          <w:lang w:val="en-US"/>
        </w:rPr>
      </w:pPr>
      <w:r>
        <w:rPr>
          <w:lang w:val="en-US"/>
        </w:rPr>
        <w:t xml:space="preserve">- </w:t>
      </w:r>
      <w:r w:rsidR="00AB29F2">
        <w:rPr>
          <w:lang w:val="en-US"/>
        </w:rPr>
        <w:tab/>
      </w:r>
      <w:r w:rsidR="00394CC4" w:rsidRPr="00D730C7">
        <w:t>Fragile X syndrome, an example of an "expansion"-related mutation</w:t>
      </w:r>
    </w:p>
    <w:p w:rsidR="00BD12DC" w:rsidRPr="00C73731" w:rsidRDefault="00C73731" w:rsidP="00C73731">
      <w:pPr>
        <w:spacing w:before="120"/>
        <w:jc w:val="left"/>
        <w:rPr>
          <w:u w:val="single"/>
        </w:rPr>
      </w:pPr>
      <w:r w:rsidRPr="00C73731">
        <w:rPr>
          <w:u w:val="single"/>
        </w:rPr>
        <w:t xml:space="preserve">Unit 2: </w:t>
      </w:r>
      <w:r w:rsidR="00394CC4" w:rsidRPr="00C73731">
        <w:rPr>
          <w:u w:val="single"/>
        </w:rPr>
        <w:t>The autistic spectrum</w:t>
      </w:r>
    </w:p>
    <w:p w:rsidR="00C73731" w:rsidRDefault="00C73731" w:rsidP="00AB29F2">
      <w:pPr>
        <w:ind w:left="567" w:hanging="283"/>
      </w:pPr>
      <w:r>
        <w:t xml:space="preserve">- </w:t>
      </w:r>
      <w:r w:rsidR="00AB29F2">
        <w:tab/>
      </w:r>
      <w:r w:rsidR="00394CC4" w:rsidRPr="00D730C7">
        <w:t>Neurobiological and genetic bases</w:t>
      </w:r>
      <w:r>
        <w:t xml:space="preserve"> </w:t>
      </w:r>
    </w:p>
    <w:p w:rsidR="00C73731" w:rsidRDefault="00C73731" w:rsidP="00AB29F2">
      <w:pPr>
        <w:ind w:left="567" w:hanging="283"/>
      </w:pPr>
      <w:r>
        <w:t xml:space="preserve">- </w:t>
      </w:r>
      <w:r w:rsidR="00AB29F2">
        <w:tab/>
      </w:r>
      <w:r w:rsidR="00394CC4" w:rsidRPr="00D730C7">
        <w:t>The new "broken mirror" theory</w:t>
      </w:r>
      <w:r>
        <w:t xml:space="preserve"> </w:t>
      </w:r>
    </w:p>
    <w:p w:rsidR="00BD12DC" w:rsidRPr="00D730C7" w:rsidRDefault="00C73731" w:rsidP="00AB29F2">
      <w:pPr>
        <w:ind w:left="567" w:hanging="283"/>
      </w:pPr>
      <w:r>
        <w:t xml:space="preserve">- </w:t>
      </w:r>
      <w:r w:rsidR="00AB29F2">
        <w:tab/>
      </w:r>
      <w:r w:rsidR="00394CC4" w:rsidRPr="00D730C7">
        <w:t xml:space="preserve">Classic autism, Asperger syndrome and </w:t>
      </w:r>
      <w:proofErr w:type="spellStart"/>
      <w:r w:rsidR="00394CC4" w:rsidRPr="00D730C7">
        <w:t>Rett</w:t>
      </w:r>
      <w:proofErr w:type="spellEnd"/>
      <w:r w:rsidR="00394CC4" w:rsidRPr="00D730C7">
        <w:t xml:space="preserve"> syndrome.</w:t>
      </w:r>
    </w:p>
    <w:p w:rsidR="00BD12DC" w:rsidRPr="00C73731" w:rsidRDefault="00C73731" w:rsidP="00C73731">
      <w:pPr>
        <w:spacing w:before="120"/>
        <w:jc w:val="left"/>
        <w:rPr>
          <w:u w:val="single"/>
        </w:rPr>
      </w:pPr>
      <w:r w:rsidRPr="00C73731">
        <w:rPr>
          <w:u w:val="single"/>
        </w:rPr>
        <w:t xml:space="preserve">Unit 3: </w:t>
      </w:r>
      <w:r w:rsidR="00394CC4" w:rsidRPr="00C73731">
        <w:rPr>
          <w:u w:val="single"/>
        </w:rPr>
        <w:t>Genes and behaviour</w:t>
      </w:r>
    </w:p>
    <w:p w:rsidR="00B721BF" w:rsidRDefault="00B721BF" w:rsidP="00AB29F2">
      <w:pPr>
        <w:ind w:left="567" w:hanging="283"/>
      </w:pPr>
      <w:r>
        <w:t xml:space="preserve">- </w:t>
      </w:r>
      <w:r w:rsidR="00AB29F2">
        <w:tab/>
      </w:r>
      <w:r w:rsidR="00394CC4" w:rsidRPr="00D730C7">
        <w:t>Single genes and basic behavioural traits</w:t>
      </w:r>
      <w:r>
        <w:t xml:space="preserve"> </w:t>
      </w:r>
    </w:p>
    <w:p w:rsidR="00B721BF" w:rsidRDefault="00B721BF" w:rsidP="00AB29F2">
      <w:pPr>
        <w:ind w:left="567" w:hanging="283"/>
      </w:pPr>
      <w:r>
        <w:t xml:space="preserve">- </w:t>
      </w:r>
      <w:r w:rsidR="00AB29F2">
        <w:tab/>
      </w:r>
      <w:r w:rsidR="00394CC4" w:rsidRPr="00D730C7">
        <w:t>Mutations in single genes: motor and cognitive deficits</w:t>
      </w:r>
      <w:r w:rsidR="00394CC4" w:rsidRPr="000A6A09">
        <w:t xml:space="preserve"> (example: Huntington's Chorea)</w:t>
      </w:r>
      <w:r>
        <w:t xml:space="preserve"> </w:t>
      </w:r>
    </w:p>
    <w:p w:rsidR="00BD12DC" w:rsidRDefault="00B721BF" w:rsidP="00AB29F2">
      <w:pPr>
        <w:ind w:left="567" w:hanging="283"/>
      </w:pPr>
      <w:r>
        <w:t xml:space="preserve">- </w:t>
      </w:r>
      <w:r w:rsidR="00AB29F2">
        <w:tab/>
      </w:r>
      <w:r w:rsidR="00394CC4" w:rsidRPr="00D730C7">
        <w:t>Complex behavioural traits: polygenic model</w:t>
      </w:r>
      <w:r w:rsidR="00394CC4" w:rsidRPr="000A6A09">
        <w:t xml:space="preserve"> (examples: schizophrenia, bipolar disorders and borderline personality disorder)</w:t>
      </w:r>
    </w:p>
    <w:p w:rsidR="000F5DE9" w:rsidRPr="000F5DE9" w:rsidRDefault="000F5DE9" w:rsidP="000F5DE9">
      <w:pPr>
        <w:spacing w:before="120"/>
        <w:jc w:val="left"/>
        <w:rPr>
          <w:u w:val="single"/>
        </w:rPr>
      </w:pPr>
      <w:r w:rsidRPr="000F5DE9">
        <w:rPr>
          <w:u w:val="single"/>
        </w:rPr>
        <w:lastRenderedPageBreak/>
        <w:t xml:space="preserve">Unit </w:t>
      </w:r>
      <w:r>
        <w:rPr>
          <w:u w:val="single"/>
        </w:rPr>
        <w:t>4</w:t>
      </w:r>
      <w:r w:rsidRPr="000F5DE9">
        <w:rPr>
          <w:u w:val="single"/>
        </w:rPr>
        <w:t>: Nature and transmission of nerve impulses</w:t>
      </w:r>
    </w:p>
    <w:p w:rsidR="000F5DE9" w:rsidRDefault="000F5DE9" w:rsidP="00AB29F2">
      <w:pPr>
        <w:ind w:left="567" w:hanging="283"/>
      </w:pPr>
      <w:r>
        <w:t xml:space="preserve">- </w:t>
      </w:r>
      <w:r w:rsidR="00AB29F2">
        <w:tab/>
      </w:r>
      <w:r w:rsidRPr="00D730C7">
        <w:t>The cells of the nervous system</w:t>
      </w:r>
      <w:r w:rsidRPr="000A6A09">
        <w:t>: neurons and glial cells</w:t>
      </w:r>
      <w:r>
        <w:t xml:space="preserve"> </w:t>
      </w:r>
    </w:p>
    <w:p w:rsidR="000F5DE9" w:rsidRDefault="000F5DE9" w:rsidP="00AB29F2">
      <w:pPr>
        <w:ind w:left="567" w:hanging="283"/>
      </w:pPr>
      <w:r>
        <w:t xml:space="preserve">- </w:t>
      </w:r>
      <w:r w:rsidR="00AB29F2">
        <w:tab/>
      </w:r>
      <w:r w:rsidRPr="00D730C7">
        <w:t>Electrical transmission</w:t>
      </w:r>
      <w:r w:rsidRPr="000A6A09">
        <w:t>: membrane potentials, ionic channels</w:t>
      </w:r>
      <w:r>
        <w:t xml:space="preserve"> </w:t>
      </w:r>
    </w:p>
    <w:p w:rsidR="000F5DE9" w:rsidRDefault="000F5DE9" w:rsidP="00AB29F2">
      <w:pPr>
        <w:ind w:left="567" w:hanging="283"/>
      </w:pPr>
      <w:r>
        <w:t xml:space="preserve">- </w:t>
      </w:r>
      <w:r w:rsidR="00AB29F2">
        <w:tab/>
      </w:r>
      <w:r w:rsidRPr="000A6A09">
        <w:t>Synaptic potential and action potential</w:t>
      </w:r>
      <w:r>
        <w:t xml:space="preserve"> </w:t>
      </w:r>
    </w:p>
    <w:p w:rsidR="000F5DE9" w:rsidRDefault="000F5DE9" w:rsidP="00AB29F2">
      <w:pPr>
        <w:ind w:left="567" w:hanging="283"/>
      </w:pPr>
      <w:r>
        <w:t xml:space="preserve">- </w:t>
      </w:r>
      <w:r w:rsidR="00AB29F2">
        <w:tab/>
      </w:r>
      <w:r w:rsidRPr="000A6A09">
        <w:t>Depolarisation and repolarisation</w:t>
      </w:r>
      <w:r>
        <w:t xml:space="preserve"> </w:t>
      </w:r>
    </w:p>
    <w:p w:rsidR="000F5DE9" w:rsidRDefault="000F5DE9" w:rsidP="00AB29F2">
      <w:pPr>
        <w:ind w:left="567" w:hanging="283"/>
      </w:pPr>
      <w:r>
        <w:t xml:space="preserve">- </w:t>
      </w:r>
      <w:r w:rsidR="00AB29F2">
        <w:tab/>
      </w:r>
      <w:r w:rsidRPr="00D730C7">
        <w:t>Synaptic transmission</w:t>
      </w:r>
      <w:r w:rsidRPr="000A6A09">
        <w:t>: synapses, neurotransmitters and neuromodulators</w:t>
      </w:r>
      <w:r>
        <w:t xml:space="preserve"> </w:t>
      </w:r>
    </w:p>
    <w:p w:rsidR="000F5DE9" w:rsidRPr="000A6A09" w:rsidRDefault="000F5DE9" w:rsidP="00AB29F2">
      <w:pPr>
        <w:ind w:left="567" w:hanging="283"/>
      </w:pPr>
      <w:r>
        <w:t>-</w:t>
      </w:r>
      <w:r w:rsidR="00AB29F2">
        <w:tab/>
      </w:r>
      <w:r w:rsidRPr="00D730C7">
        <w:t>Neurotransmitters and drugs</w:t>
      </w:r>
    </w:p>
    <w:p w:rsidR="00BD12DC" w:rsidRPr="00B721BF" w:rsidRDefault="00B721BF" w:rsidP="00B721BF">
      <w:pPr>
        <w:spacing w:before="120"/>
        <w:jc w:val="left"/>
        <w:rPr>
          <w:u w:val="single"/>
        </w:rPr>
      </w:pPr>
      <w:r w:rsidRPr="00B721BF">
        <w:rPr>
          <w:u w:val="single"/>
        </w:rPr>
        <w:t xml:space="preserve">Unit </w:t>
      </w:r>
      <w:r w:rsidR="000F5DE9">
        <w:rPr>
          <w:u w:val="single"/>
        </w:rPr>
        <w:t>5</w:t>
      </w:r>
      <w:r w:rsidRPr="00B721BF">
        <w:rPr>
          <w:u w:val="single"/>
        </w:rPr>
        <w:t xml:space="preserve">: </w:t>
      </w:r>
      <w:r w:rsidR="00394CC4" w:rsidRPr="00B721BF">
        <w:rPr>
          <w:u w:val="single"/>
        </w:rPr>
        <w:t xml:space="preserve">Anatomy and development of the nervous system </w:t>
      </w:r>
    </w:p>
    <w:p w:rsidR="00B721BF" w:rsidRDefault="00B721BF" w:rsidP="00AB29F2">
      <w:pPr>
        <w:ind w:left="567" w:hanging="283"/>
      </w:pPr>
      <w:r>
        <w:t xml:space="preserve">- </w:t>
      </w:r>
      <w:r w:rsidR="00AB29F2">
        <w:tab/>
      </w:r>
      <w:r w:rsidR="00394CC4" w:rsidRPr="00D730C7">
        <w:t>Peripheral nervous system</w:t>
      </w:r>
      <w:r w:rsidR="00394CC4" w:rsidRPr="000A6A09">
        <w:t>: sensory and motor division</w:t>
      </w:r>
      <w:r>
        <w:t xml:space="preserve"> </w:t>
      </w:r>
    </w:p>
    <w:p w:rsidR="00B721BF" w:rsidRDefault="00B721BF" w:rsidP="00AB29F2">
      <w:pPr>
        <w:ind w:left="567" w:hanging="283"/>
      </w:pPr>
      <w:r>
        <w:t xml:space="preserve">- </w:t>
      </w:r>
      <w:r w:rsidR="00AB29F2">
        <w:tab/>
      </w:r>
      <w:r w:rsidR="00394CC4" w:rsidRPr="00D730C7">
        <w:t>Organisation of the central nervous system</w:t>
      </w:r>
      <w:r w:rsidR="00394CC4" w:rsidRPr="000A6A09">
        <w:t>: the spinal cord, bulb, pons, mesencephalon, cerebellum, diencephalon, and cerebral hemispheres</w:t>
      </w:r>
      <w:r>
        <w:t xml:space="preserve"> </w:t>
      </w:r>
    </w:p>
    <w:p w:rsidR="00B721BF" w:rsidRDefault="00B721BF" w:rsidP="00AB29F2">
      <w:pPr>
        <w:ind w:left="567" w:hanging="283"/>
      </w:pPr>
      <w:r>
        <w:t>-</w:t>
      </w:r>
      <w:r w:rsidR="00AB29F2">
        <w:tab/>
      </w:r>
      <w:r w:rsidR="00394CC4" w:rsidRPr="00D730C7">
        <w:t>Basal nuclei</w:t>
      </w:r>
      <w:r>
        <w:t xml:space="preserve"> </w:t>
      </w:r>
    </w:p>
    <w:p w:rsidR="00B721BF" w:rsidRDefault="00B721BF" w:rsidP="00AB29F2">
      <w:pPr>
        <w:ind w:left="567" w:hanging="283"/>
      </w:pPr>
      <w:r>
        <w:t xml:space="preserve">- </w:t>
      </w:r>
      <w:r w:rsidR="00AB29F2">
        <w:tab/>
      </w:r>
      <w:r w:rsidR="00394CC4" w:rsidRPr="00D730C7">
        <w:t>Limbic System</w:t>
      </w:r>
      <w:r>
        <w:t xml:space="preserve"> </w:t>
      </w:r>
    </w:p>
    <w:p w:rsidR="00B721BF" w:rsidRDefault="00B721BF" w:rsidP="00AB29F2">
      <w:pPr>
        <w:ind w:left="567" w:hanging="283"/>
      </w:pPr>
      <w:r>
        <w:t xml:space="preserve">- </w:t>
      </w:r>
      <w:r w:rsidR="00AB29F2">
        <w:tab/>
      </w:r>
      <w:r w:rsidR="00394CC4" w:rsidRPr="00D730C7">
        <w:t>Elements of cognitive neuroscience</w:t>
      </w:r>
      <w:r w:rsidR="00AB7E08">
        <w:t>:</w:t>
      </w:r>
      <w:r>
        <w:t xml:space="preserve"> </w:t>
      </w:r>
    </w:p>
    <w:p w:rsidR="00BD12DC" w:rsidRPr="000A6A09" w:rsidRDefault="00394CC4" w:rsidP="00AB29F2">
      <w:pPr>
        <w:ind w:left="709" w:firstLine="1"/>
      </w:pPr>
      <w:r w:rsidRPr="00D730C7">
        <w:t>From nerve cells to cognitive processes</w:t>
      </w:r>
    </w:p>
    <w:p w:rsidR="00BD12DC" w:rsidRPr="000A6A09" w:rsidRDefault="00394CC4" w:rsidP="00AB29F2">
      <w:pPr>
        <w:ind w:left="709"/>
      </w:pPr>
      <w:r w:rsidRPr="00D730C7">
        <w:t>Cognitive processes and the cerebral cortex</w:t>
      </w:r>
    </w:p>
    <w:p w:rsidR="00BD12DC" w:rsidRPr="001D32CA" w:rsidRDefault="001D32CA" w:rsidP="001D32CA">
      <w:pPr>
        <w:spacing w:before="120"/>
        <w:jc w:val="left"/>
        <w:rPr>
          <w:u w:val="single"/>
        </w:rPr>
      </w:pPr>
      <w:r w:rsidRPr="001D32CA">
        <w:rPr>
          <w:u w:val="single"/>
        </w:rPr>
        <w:t xml:space="preserve">Unit 6: </w:t>
      </w:r>
      <w:r w:rsidR="00394CC4" w:rsidRPr="001D32CA">
        <w:rPr>
          <w:u w:val="single"/>
        </w:rPr>
        <w:t xml:space="preserve">Mirror neurons </w:t>
      </w:r>
    </w:p>
    <w:p w:rsidR="00BD12DC" w:rsidRPr="000A6A09" w:rsidRDefault="001D32CA" w:rsidP="00AB29F2">
      <w:pPr>
        <w:ind w:left="567" w:hanging="283"/>
      </w:pPr>
      <w:r>
        <w:t xml:space="preserve">- </w:t>
      </w:r>
      <w:r w:rsidR="00394CC4" w:rsidRPr="00D730C7">
        <w:t>Their discovery, the theoretical implications</w:t>
      </w:r>
      <w:r w:rsidR="00394CC4" w:rsidRPr="000A6A09">
        <w:t xml:space="preserve"> </w:t>
      </w:r>
      <w:r w:rsidR="00394CC4" w:rsidRPr="00D730C7">
        <w:t>and possible practical consequences</w:t>
      </w:r>
      <w:r w:rsidR="00394CC4" w:rsidRPr="000A6A09">
        <w:t xml:space="preserve"> (examples: autistic syndrome and post-stroke rehabilitation)</w:t>
      </w:r>
    </w:p>
    <w:p w:rsidR="00BD12DC" w:rsidRPr="000A6A09" w:rsidRDefault="00394CC4" w:rsidP="00E90A0B">
      <w:pPr>
        <w:spacing w:before="240" w:after="120" w:line="220" w:lineRule="exact"/>
        <w:rPr>
          <w:b/>
          <w:i/>
          <w:sz w:val="18"/>
        </w:rPr>
      </w:pPr>
      <w:r w:rsidRPr="000A6A09">
        <w:rPr>
          <w:b/>
          <w:i/>
          <w:sz w:val="18"/>
        </w:rPr>
        <w:t>READING LIST</w:t>
      </w:r>
      <w:r w:rsidR="009220D6">
        <w:rPr>
          <w:rStyle w:val="Rimandonotaapidipagina"/>
          <w:b/>
          <w:i/>
          <w:sz w:val="18"/>
        </w:rPr>
        <w:footnoteReference w:id="1"/>
      </w:r>
    </w:p>
    <w:p w:rsidR="009815CD" w:rsidRDefault="009815CD" w:rsidP="009815CD">
      <w:pPr>
        <w:pStyle w:val="Testo2"/>
        <w:spacing w:line="240" w:lineRule="atLeast"/>
        <w:ind w:left="284" w:hanging="284"/>
        <w:rPr>
          <w:smallCaps/>
          <w:spacing w:val="-5"/>
          <w:sz w:val="16"/>
        </w:rPr>
      </w:pPr>
      <w:r w:rsidRPr="000A6A09">
        <w:rPr>
          <w:smallCaps/>
          <w:spacing w:val="-5"/>
          <w:sz w:val="16"/>
        </w:rPr>
        <w:t xml:space="preserve">D. Sadava-D.M Hillis-H.C. Heller-M.R. Berenbaum-S. </w:t>
      </w:r>
      <w:r w:rsidRPr="000A6A09">
        <w:rPr>
          <w:smallCaps/>
          <w:spacing w:val="-5"/>
          <w:sz w:val="16"/>
          <w:lang w:val="en-US"/>
        </w:rPr>
        <w:t>Hacker,</w:t>
      </w:r>
      <w:r>
        <w:rPr>
          <w:smallCaps/>
          <w:spacing w:val="-5"/>
          <w:sz w:val="16"/>
          <w:lang w:val="en-US"/>
        </w:rPr>
        <w:t xml:space="preserve">  </w:t>
      </w:r>
      <w:r>
        <w:rPr>
          <w:i/>
          <w:spacing w:val="-5"/>
          <w:lang w:val="en-US"/>
        </w:rPr>
        <w:t>Life: the science of Biology, volume 1,</w:t>
      </w:r>
      <w:r>
        <w:rPr>
          <w:iCs/>
          <w:spacing w:val="-5"/>
          <w:lang w:val="en-US"/>
        </w:rPr>
        <w:t xml:space="preserve"> Sinaurer Associates Inc, 2011, 9</w:t>
      </w:r>
      <w:r w:rsidRPr="001F4F48">
        <w:rPr>
          <w:iCs/>
          <w:spacing w:val="-5"/>
          <w:vertAlign w:val="superscript"/>
          <w:lang w:val="en-US"/>
        </w:rPr>
        <w:t>th</w:t>
      </w:r>
      <w:r>
        <w:rPr>
          <w:iCs/>
          <w:spacing w:val="-5"/>
          <w:lang w:val="en-US"/>
        </w:rPr>
        <w:t xml:space="preserve"> edition</w:t>
      </w:r>
    </w:p>
    <w:p w:rsidR="009815CD" w:rsidRPr="00AB29F2" w:rsidRDefault="009815CD" w:rsidP="00AB29F2">
      <w:pPr>
        <w:pStyle w:val="Testo2"/>
        <w:spacing w:line="240" w:lineRule="atLeast"/>
        <w:ind w:left="284" w:hanging="284"/>
        <w:rPr>
          <w:spacing w:val="-5"/>
          <w:lang w:val="en-US"/>
        </w:rPr>
      </w:pPr>
      <w:r w:rsidRPr="005A3F7F">
        <w:rPr>
          <w:smallCaps/>
          <w:spacing w:val="-5"/>
          <w:sz w:val="16"/>
          <w:lang w:val="en-US"/>
        </w:rPr>
        <w:t>W</w:t>
      </w:r>
      <w:r w:rsidR="001F4F48" w:rsidRPr="005A3F7F">
        <w:rPr>
          <w:smallCaps/>
          <w:spacing w:val="-5"/>
          <w:sz w:val="16"/>
          <w:lang w:val="en-US"/>
        </w:rPr>
        <w:t>.</w:t>
      </w:r>
      <w:r w:rsidRPr="005A3F7F">
        <w:rPr>
          <w:smallCaps/>
          <w:spacing w:val="-5"/>
          <w:sz w:val="16"/>
          <w:lang w:val="en-US"/>
        </w:rPr>
        <w:t xml:space="preserve"> J</w:t>
      </w:r>
      <w:r w:rsidR="001F4F48" w:rsidRPr="005A3F7F">
        <w:rPr>
          <w:smallCaps/>
          <w:spacing w:val="-5"/>
          <w:sz w:val="16"/>
          <w:lang w:val="en-US"/>
        </w:rPr>
        <w:t>.</w:t>
      </w:r>
      <w:r w:rsidRPr="005A3F7F">
        <w:rPr>
          <w:smallCaps/>
          <w:spacing w:val="-5"/>
          <w:sz w:val="16"/>
          <w:lang w:val="en-US"/>
        </w:rPr>
        <w:t xml:space="preserve"> Hendelman,  </w:t>
      </w:r>
      <w:r w:rsidRPr="005A3F7F">
        <w:rPr>
          <w:i/>
          <w:spacing w:val="-5"/>
          <w:lang w:val="en-US"/>
        </w:rPr>
        <w:t>Atlas of Functional Neuroanatomy, CRC Press,</w:t>
      </w:r>
      <w:r w:rsidR="001F4F48" w:rsidRPr="005A3F7F">
        <w:rPr>
          <w:i/>
          <w:spacing w:val="-5"/>
          <w:lang w:val="en-US"/>
        </w:rPr>
        <w:t xml:space="preserve"> 2016,</w:t>
      </w:r>
      <w:r w:rsidRPr="005A3F7F">
        <w:rPr>
          <w:i/>
          <w:spacing w:val="-5"/>
          <w:lang w:val="en-US"/>
        </w:rPr>
        <w:t xml:space="preserve"> </w:t>
      </w:r>
      <w:r w:rsidRPr="005A3F7F">
        <w:rPr>
          <w:spacing w:val="-5"/>
          <w:lang w:val="en-US"/>
        </w:rPr>
        <w:t>3</w:t>
      </w:r>
      <w:r w:rsidRPr="005A3F7F">
        <w:rPr>
          <w:spacing w:val="-5"/>
          <w:vertAlign w:val="superscript"/>
          <w:lang w:val="en-US"/>
        </w:rPr>
        <w:t>th</w:t>
      </w:r>
      <w:r w:rsidRPr="005A3F7F">
        <w:rPr>
          <w:spacing w:val="-5"/>
          <w:lang w:val="en-US"/>
        </w:rPr>
        <w:t xml:space="preserve"> edition.</w:t>
      </w:r>
    </w:p>
    <w:p w:rsidR="00BD12DC" w:rsidRPr="000A6A09" w:rsidRDefault="00394CC4" w:rsidP="00B16D24">
      <w:pPr>
        <w:spacing w:before="240" w:after="120" w:line="220" w:lineRule="exact"/>
        <w:rPr>
          <w:b/>
          <w:i/>
          <w:sz w:val="18"/>
        </w:rPr>
      </w:pPr>
      <w:r w:rsidRPr="000A6A09">
        <w:rPr>
          <w:b/>
          <w:i/>
          <w:sz w:val="18"/>
        </w:rPr>
        <w:t>TEACHING METHOD</w:t>
      </w:r>
    </w:p>
    <w:p w:rsidR="00BD12DC" w:rsidRPr="000A6A09" w:rsidRDefault="00394CC4">
      <w:pPr>
        <w:pStyle w:val="Testo2"/>
        <w:rPr>
          <w:noProof w:val="0"/>
        </w:rPr>
      </w:pPr>
      <w:r w:rsidRPr="000A6A09">
        <w:rPr>
          <w:noProof w:val="0"/>
        </w:rPr>
        <w:t>The course consists of lectures that will outline the approach to the subjects and indicate a method of study; examples of solutions to certain biological problems will also be illustrated, allowing the student to assess their own level of understanding of the material. Tutorials will provide integrated sessions of in-depth study and verification.</w:t>
      </w:r>
    </w:p>
    <w:p w:rsidR="00AB29F2" w:rsidRPr="000A6A09" w:rsidRDefault="00AB29F2" w:rsidP="00AB29F2">
      <w:pPr>
        <w:spacing w:before="240" w:after="120" w:line="220" w:lineRule="exact"/>
        <w:rPr>
          <w:b/>
          <w:i/>
          <w:sz w:val="18"/>
          <w:lang w:val="en-US"/>
        </w:rPr>
      </w:pPr>
      <w:r w:rsidRPr="000A6A09">
        <w:rPr>
          <w:b/>
          <w:i/>
          <w:sz w:val="18"/>
          <w:lang w:val="en-US"/>
        </w:rPr>
        <w:t>ASSESSMENT METHOD AND CRITERIA</w:t>
      </w:r>
    </w:p>
    <w:p w:rsidR="00E90A0B" w:rsidRPr="00AB29F2" w:rsidRDefault="00AB29F2" w:rsidP="00AB29F2">
      <w:pPr>
        <w:spacing w:line="220" w:lineRule="exact"/>
        <w:ind w:firstLine="284"/>
        <w:rPr>
          <w:sz w:val="18"/>
          <w:lang w:val="en-US"/>
        </w:rPr>
      </w:pPr>
      <w:r w:rsidRPr="00AB29F2">
        <w:rPr>
          <w:sz w:val="18"/>
          <w:lang w:val="en-US"/>
        </w:rPr>
        <w:t xml:space="preserve">There will be a written test composed of questions on the entire course program. The test will contain 27 closed questions and they will carry 1 mark. There will be two open-ended questions and the mark will range from 0 to 3 (3 for impeccable answers). Students can obtain marks ranging from 0 to 33 for the written test (zero: no correct answers; 33: all correct answers). Marks between 31 and 33 will receive </w:t>
      </w:r>
      <w:proofErr w:type="spellStart"/>
      <w:r w:rsidRPr="00AB29F2">
        <w:rPr>
          <w:sz w:val="18"/>
          <w:lang w:val="en-US"/>
        </w:rPr>
        <w:t>honours</w:t>
      </w:r>
      <w:proofErr w:type="spellEnd"/>
      <w:r w:rsidRPr="00AB29F2">
        <w:rPr>
          <w:sz w:val="18"/>
          <w:lang w:val="en-US"/>
        </w:rPr>
        <w:t xml:space="preserve">. Students may also sit an </w:t>
      </w:r>
      <w:r w:rsidRPr="00AB29F2">
        <w:rPr>
          <w:sz w:val="18"/>
          <w:lang w:val="en-US"/>
        </w:rPr>
        <w:lastRenderedPageBreak/>
        <w:t>oral test, it is optional and may be requested only if students have obtained a minimum of 18 marks on the written test.</w:t>
      </w:r>
    </w:p>
    <w:p w:rsidR="007533E3" w:rsidRPr="000A6A09" w:rsidRDefault="007533E3" w:rsidP="007533E3">
      <w:pPr>
        <w:spacing w:before="240" w:after="120"/>
        <w:rPr>
          <w:b/>
          <w:i/>
          <w:sz w:val="18"/>
          <w:lang w:val="en-US"/>
        </w:rPr>
      </w:pPr>
      <w:r w:rsidRPr="000A6A09">
        <w:rPr>
          <w:b/>
          <w:i/>
          <w:sz w:val="18"/>
          <w:lang w:val="en-US"/>
        </w:rPr>
        <w:t>NOTES AND PREREQUISITES</w:t>
      </w:r>
    </w:p>
    <w:p w:rsidR="00E90A0B" w:rsidRDefault="00C9034D" w:rsidP="00E90A0B">
      <w:pPr>
        <w:pStyle w:val="Testo2"/>
        <w:rPr>
          <w:lang w:val="en-US"/>
        </w:rPr>
      </w:pPr>
      <w:r w:rsidRPr="000A6A09">
        <w:rPr>
          <w:lang w:val="en-US"/>
        </w:rPr>
        <w:t>There are no</w:t>
      </w:r>
      <w:r w:rsidR="00E90A0B" w:rsidRPr="000A6A09">
        <w:rPr>
          <w:lang w:val="en-US"/>
        </w:rPr>
        <w:t xml:space="preserve"> pr</w:t>
      </w:r>
      <w:r w:rsidRPr="000A6A09">
        <w:rPr>
          <w:lang w:val="en-US"/>
        </w:rPr>
        <w:t>erequisites for attending the course</w:t>
      </w:r>
      <w:r w:rsidR="00E90A0B" w:rsidRPr="000A6A09">
        <w:rPr>
          <w:lang w:val="en-US"/>
        </w:rPr>
        <w:t>.</w:t>
      </w:r>
    </w:p>
    <w:p w:rsidR="00AB29F2" w:rsidRPr="00AB29F2" w:rsidRDefault="00AB29F2" w:rsidP="00AB29F2">
      <w:pPr>
        <w:tabs>
          <w:tab w:val="left" w:pos="284"/>
        </w:tabs>
        <w:spacing w:line="240" w:lineRule="exact"/>
        <w:ind w:firstLine="284"/>
        <w:rPr>
          <w:rFonts w:ascii="Times" w:hAnsi="Times"/>
          <w:sz w:val="18"/>
          <w:szCs w:val="18"/>
          <w:lang w:val="en-US"/>
        </w:rPr>
      </w:pPr>
      <w:r w:rsidRPr="00AB29F2">
        <w:rPr>
          <w:rFonts w:ascii="Times" w:hAnsi="Times"/>
          <w:sz w:val="18"/>
          <w:szCs w:val="18"/>
          <w:lang w:val="en-US"/>
        </w:rPr>
        <w:t>In case the current Covid-19 health emergency does not allow frontal teaching, remote teaching will be carried out following procedures that will be promptly notified to students.</w:t>
      </w:r>
    </w:p>
    <w:p w:rsidR="00AB29F2" w:rsidRPr="00AB29F2" w:rsidRDefault="00AB29F2" w:rsidP="00AB29F2">
      <w:pPr>
        <w:tabs>
          <w:tab w:val="left" w:pos="284"/>
        </w:tabs>
        <w:spacing w:before="120" w:line="220" w:lineRule="exact"/>
        <w:rPr>
          <w:rFonts w:ascii="Times" w:hAnsi="Times"/>
          <w:bCs/>
          <w:i/>
          <w:iCs/>
          <w:sz w:val="18"/>
        </w:rPr>
      </w:pPr>
      <w:r>
        <w:rPr>
          <w:rFonts w:ascii="Times" w:hAnsi="Times"/>
          <w:bCs/>
          <w:i/>
          <w:iCs/>
          <w:sz w:val="18"/>
        </w:rPr>
        <w:tab/>
      </w:r>
      <w:r w:rsidRPr="00AB29F2">
        <w:rPr>
          <w:rFonts w:ascii="Times" w:hAnsi="Times"/>
          <w:bCs/>
          <w:i/>
          <w:iCs/>
          <w:sz w:val="18"/>
        </w:rPr>
        <w:t>Students’ reception</w:t>
      </w:r>
    </w:p>
    <w:p w:rsidR="00AB29F2" w:rsidRPr="00AB29F2" w:rsidRDefault="00AB29F2" w:rsidP="00AB29F2">
      <w:pPr>
        <w:tabs>
          <w:tab w:val="left" w:pos="284"/>
        </w:tabs>
        <w:spacing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 xml:space="preserve">1: </w:t>
      </w:r>
      <w:proofErr w:type="spellStart"/>
      <w:r w:rsidRPr="00AB29F2">
        <w:rPr>
          <w:rFonts w:ascii="Times" w:hAnsi="Times"/>
          <w:sz w:val="18"/>
        </w:rPr>
        <w:t>Prof.</w:t>
      </w:r>
      <w:proofErr w:type="spellEnd"/>
      <w:r w:rsidRPr="00AB29F2">
        <w:rPr>
          <w:rFonts w:ascii="Times" w:hAnsi="Times"/>
          <w:sz w:val="18"/>
        </w:rPr>
        <w:t xml:space="preserve"> Sara Missaglia will receive the students on Wednesday from 12.30 to 14.30, by appointment via email (</w:t>
      </w:r>
      <w:hyperlink r:id="rId9" w:history="1">
        <w:r w:rsidRPr="00AB29F2">
          <w:rPr>
            <w:rFonts w:ascii="Times" w:hAnsi="Times"/>
            <w:color w:val="0000FF" w:themeColor="hyperlink"/>
            <w:sz w:val="18"/>
            <w:u w:val="single"/>
          </w:rPr>
          <w:t>sara.missaglia@unicatt.it</w:t>
        </w:r>
      </w:hyperlink>
      <w:r w:rsidRPr="00AB29F2">
        <w:rPr>
          <w:rFonts w:ascii="Times" w:hAnsi="Times"/>
          <w:sz w:val="18"/>
        </w:rPr>
        <w:t>)</w:t>
      </w:r>
    </w:p>
    <w:p w:rsidR="00AB29F2" w:rsidRPr="00AB29F2" w:rsidRDefault="00AB29F2" w:rsidP="00AB29F2">
      <w:pPr>
        <w:tabs>
          <w:tab w:val="left" w:pos="284"/>
        </w:tabs>
        <w:spacing w:before="120"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 xml:space="preserve">2: </w:t>
      </w:r>
      <w:proofErr w:type="spellStart"/>
      <w:r w:rsidRPr="00AB29F2">
        <w:rPr>
          <w:rFonts w:ascii="Times" w:hAnsi="Times"/>
          <w:sz w:val="18"/>
        </w:rPr>
        <w:t>Prof.</w:t>
      </w:r>
      <w:proofErr w:type="spellEnd"/>
      <w:r w:rsidRPr="00AB29F2">
        <w:rPr>
          <w:rFonts w:ascii="Times" w:hAnsi="Times"/>
          <w:sz w:val="18"/>
        </w:rPr>
        <w:t xml:space="preserve"> Daniela Tavian will receive the students on Tuesday from 12.30 to 14.30, by appointment via email (</w:t>
      </w:r>
      <w:hyperlink r:id="rId10" w:history="1">
        <w:r w:rsidRPr="00AB29F2">
          <w:rPr>
            <w:rFonts w:ascii="Times" w:hAnsi="Times"/>
            <w:color w:val="0000FF" w:themeColor="hyperlink"/>
            <w:sz w:val="18"/>
            <w:u w:val="single"/>
          </w:rPr>
          <w:t>daniela.tavian@unicatt.it</w:t>
        </w:r>
      </w:hyperlink>
      <w:r w:rsidRPr="00AB29F2">
        <w:rPr>
          <w:rFonts w:ascii="Times" w:hAnsi="Times"/>
          <w:sz w:val="18"/>
        </w:rPr>
        <w:t>)</w:t>
      </w:r>
    </w:p>
    <w:p w:rsidR="00C73731" w:rsidRPr="00641C39" w:rsidRDefault="00B16D24" w:rsidP="00BB7414">
      <w:pPr>
        <w:pStyle w:val="Testo2"/>
        <w:spacing w:before="120"/>
        <w:rPr>
          <w:noProof w:val="0"/>
        </w:rPr>
      </w:pPr>
      <w:r w:rsidRPr="000A6A09">
        <w:rPr>
          <w:noProof w:val="0"/>
        </w:rPr>
        <w:t>Further information can be found on the lecturer's webpage at http://docenti.unicatt.it/web/searchByName.do?language=ENG, or on the Faculty notice board.</w:t>
      </w:r>
      <w:r w:rsidRPr="00641C39">
        <w:rPr>
          <w:noProof w:val="0"/>
        </w:rPr>
        <w:t xml:space="preserve"> </w:t>
      </w:r>
    </w:p>
    <w:sectPr w:rsidR="00C73731" w:rsidRPr="00641C39" w:rsidSect="00DF3D0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D6" w:rsidRDefault="009220D6" w:rsidP="009220D6">
      <w:r>
        <w:separator/>
      </w:r>
    </w:p>
  </w:endnote>
  <w:endnote w:type="continuationSeparator" w:id="0">
    <w:p w:rsidR="009220D6" w:rsidRDefault="009220D6" w:rsidP="0092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D6" w:rsidRDefault="009220D6" w:rsidP="009220D6">
      <w:r>
        <w:separator/>
      </w:r>
    </w:p>
  </w:footnote>
  <w:footnote w:type="continuationSeparator" w:id="0">
    <w:p w:rsidR="009220D6" w:rsidRDefault="009220D6" w:rsidP="009220D6">
      <w:r>
        <w:continuationSeparator/>
      </w:r>
    </w:p>
  </w:footnote>
  <w:footnote w:id="1">
    <w:p w:rsidR="009220D6" w:rsidRPr="009220D6" w:rsidRDefault="009220D6">
      <w:pPr>
        <w:pStyle w:val="Testonotaapidipagina"/>
        <w:rPr>
          <w:lang w:val="it-IT"/>
        </w:rPr>
      </w:pPr>
      <w:r>
        <w:rPr>
          <w:rStyle w:val="Rimandonotaapidipagina"/>
        </w:rPr>
        <w:footnoteRef/>
      </w:r>
      <w:r w:rsidRPr="009220D6">
        <w:rPr>
          <w:lang w:val="it-IT"/>
        </w:rPr>
        <w:t xml:space="preserve"> </w:t>
      </w:r>
      <w:r w:rsidRPr="009220D6">
        <w:rPr>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3"/>
  </w:num>
  <w:num w:numId="4">
    <w:abstractNumId w:val="9"/>
  </w:num>
  <w:num w:numId="5">
    <w:abstractNumId w:val="1"/>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4115"/>
    <w:rsid w:val="00073D97"/>
    <w:rsid w:val="000A6A09"/>
    <w:rsid w:val="000C397A"/>
    <w:rsid w:val="000F5DE9"/>
    <w:rsid w:val="00151C57"/>
    <w:rsid w:val="001618E4"/>
    <w:rsid w:val="00187B99"/>
    <w:rsid w:val="001D32CA"/>
    <w:rsid w:val="001D71F4"/>
    <w:rsid w:val="001F4F48"/>
    <w:rsid w:val="001F7705"/>
    <w:rsid w:val="002014DD"/>
    <w:rsid w:val="00272D17"/>
    <w:rsid w:val="002F307D"/>
    <w:rsid w:val="00394CC4"/>
    <w:rsid w:val="003B301B"/>
    <w:rsid w:val="004577D9"/>
    <w:rsid w:val="004A213A"/>
    <w:rsid w:val="004D1217"/>
    <w:rsid w:val="004D6008"/>
    <w:rsid w:val="0053766D"/>
    <w:rsid w:val="005572EB"/>
    <w:rsid w:val="00592EA4"/>
    <w:rsid w:val="005A3F7F"/>
    <w:rsid w:val="00641C39"/>
    <w:rsid w:val="00697882"/>
    <w:rsid w:val="006F1772"/>
    <w:rsid w:val="006F6989"/>
    <w:rsid w:val="00714A9B"/>
    <w:rsid w:val="00717208"/>
    <w:rsid w:val="007172A8"/>
    <w:rsid w:val="007533E3"/>
    <w:rsid w:val="007D2CA8"/>
    <w:rsid w:val="007E134A"/>
    <w:rsid w:val="007E55A9"/>
    <w:rsid w:val="007F0380"/>
    <w:rsid w:val="008061AA"/>
    <w:rsid w:val="0084541C"/>
    <w:rsid w:val="008A1204"/>
    <w:rsid w:val="00900CCA"/>
    <w:rsid w:val="009104F9"/>
    <w:rsid w:val="00915AF1"/>
    <w:rsid w:val="009220D6"/>
    <w:rsid w:val="00924B77"/>
    <w:rsid w:val="00940DA2"/>
    <w:rsid w:val="009504E5"/>
    <w:rsid w:val="00950DDD"/>
    <w:rsid w:val="00951660"/>
    <w:rsid w:val="009815CD"/>
    <w:rsid w:val="009B3BDD"/>
    <w:rsid w:val="009C0B91"/>
    <w:rsid w:val="009E055C"/>
    <w:rsid w:val="00A74F6F"/>
    <w:rsid w:val="00AB29F2"/>
    <w:rsid w:val="00AB7E08"/>
    <w:rsid w:val="00AD7557"/>
    <w:rsid w:val="00AE77E6"/>
    <w:rsid w:val="00AF05E9"/>
    <w:rsid w:val="00B13ECF"/>
    <w:rsid w:val="00B16D24"/>
    <w:rsid w:val="00B51253"/>
    <w:rsid w:val="00B525CC"/>
    <w:rsid w:val="00B64FFB"/>
    <w:rsid w:val="00B721BF"/>
    <w:rsid w:val="00B96BAD"/>
    <w:rsid w:val="00BB14CA"/>
    <w:rsid w:val="00BB7414"/>
    <w:rsid w:val="00BC70C3"/>
    <w:rsid w:val="00BD12DC"/>
    <w:rsid w:val="00BF55B7"/>
    <w:rsid w:val="00C01CFD"/>
    <w:rsid w:val="00C16E87"/>
    <w:rsid w:val="00C73731"/>
    <w:rsid w:val="00C9034D"/>
    <w:rsid w:val="00CB1322"/>
    <w:rsid w:val="00CC0DF4"/>
    <w:rsid w:val="00CE3C2E"/>
    <w:rsid w:val="00D404F2"/>
    <w:rsid w:val="00D512C1"/>
    <w:rsid w:val="00D53BBC"/>
    <w:rsid w:val="00D730C7"/>
    <w:rsid w:val="00DA66D0"/>
    <w:rsid w:val="00DF0A04"/>
    <w:rsid w:val="00DF326C"/>
    <w:rsid w:val="00DF3D02"/>
    <w:rsid w:val="00E607E6"/>
    <w:rsid w:val="00E651E9"/>
    <w:rsid w:val="00E90A0B"/>
    <w:rsid w:val="00EC4115"/>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UnresolvedMention">
    <w:name w:val="Unresolved Mention"/>
    <w:basedOn w:val="Carpredefinitoparagrafo"/>
    <w:uiPriority w:val="99"/>
    <w:semiHidden/>
    <w:unhideWhenUsed/>
    <w:rsid w:val="00DF326C"/>
    <w:rPr>
      <w:color w:val="605E5C"/>
      <w:shd w:val="clear" w:color="auto" w:fill="E1DFDD"/>
    </w:rPr>
  </w:style>
  <w:style w:type="paragraph" w:styleId="Testonotaapidipagina">
    <w:name w:val="footnote text"/>
    <w:basedOn w:val="Normale"/>
    <w:link w:val="TestonotaapidipaginaCarattere"/>
    <w:semiHidden/>
    <w:unhideWhenUsed/>
    <w:rsid w:val="009220D6"/>
  </w:style>
  <w:style w:type="character" w:customStyle="1" w:styleId="TestonotaapidipaginaCarattere">
    <w:name w:val="Testo nota a piè di pagina Carattere"/>
    <w:basedOn w:val="Carpredefinitoparagrafo"/>
    <w:link w:val="Testonotaapidipagina"/>
    <w:semiHidden/>
    <w:rsid w:val="009220D6"/>
  </w:style>
  <w:style w:type="character" w:styleId="Rimandonotaapidipagina">
    <w:name w:val="footnote reference"/>
    <w:basedOn w:val="Carpredefinitoparagrafo"/>
    <w:semiHidden/>
    <w:unhideWhenUsed/>
    <w:rsid w:val="00922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niela.tavian@unicatt.it" TargetMode="External"/><Relationship Id="rId4" Type="http://schemas.microsoft.com/office/2007/relationships/stylesWithEffects" Target="stylesWithEffects.xml"/><Relationship Id="rId9" Type="http://schemas.openxmlformats.org/officeDocument/2006/relationships/hyperlink" Target="mailto:sara.missagli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8B8B-6E22-4030-9F82-258959CE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4</Pages>
  <Words>934</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6</cp:revision>
  <cp:lastPrinted>2003-03-27T09:42:00Z</cp:lastPrinted>
  <dcterms:created xsi:type="dcterms:W3CDTF">2020-05-13T15:00:00Z</dcterms:created>
  <dcterms:modified xsi:type="dcterms:W3CDTF">2020-08-03T12:54:00Z</dcterms:modified>
</cp:coreProperties>
</file>