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CE59" w14:textId="77777777" w:rsidR="002D5E17" w:rsidRDefault="00206F0D" w:rsidP="002D5E17">
      <w:pPr>
        <w:pStyle w:val="Titolo1"/>
      </w:pPr>
      <w:r w:rsidRPr="00206F0D">
        <w:t>Storia del Vicino Oriente antico</w:t>
      </w:r>
    </w:p>
    <w:p w14:paraId="48FED41E" w14:textId="77777777" w:rsidR="00206F0D" w:rsidRDefault="00206F0D" w:rsidP="00206F0D">
      <w:pPr>
        <w:pStyle w:val="Titolo2"/>
      </w:pPr>
      <w:r w:rsidRPr="005D5018">
        <w:t>Prof. Mauro Giorgieri</w:t>
      </w:r>
    </w:p>
    <w:p w14:paraId="731C6E0B" w14:textId="77777777" w:rsidR="00206F0D" w:rsidRDefault="00206F0D" w:rsidP="00206F0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4B69276" w14:textId="048B7521" w:rsidR="00206F0D" w:rsidRDefault="00206F0D" w:rsidP="00D70C50">
      <w:pPr>
        <w:spacing w:line="240" w:lineRule="exact"/>
      </w:pPr>
      <w:r w:rsidRPr="005D5018">
        <w:t>L’insegnamento intende fornire le conoscenze di base relative alla storia politica, istituzionale, sociale</w:t>
      </w:r>
      <w:r>
        <w:t xml:space="preserve"> e</w:t>
      </w:r>
      <w:r w:rsidRPr="005D5018">
        <w:t xml:space="preserve"> culturale dell’area vicino-orientale (con particolare attenzione alla Mesopotamia, alla regione siro-palestinese e all’Anatolia) nel periodo </w:t>
      </w:r>
      <w:proofErr w:type="spellStart"/>
      <w:r w:rsidRPr="005D5018">
        <w:t>pre</w:t>
      </w:r>
      <w:proofErr w:type="spellEnd"/>
      <w:r w:rsidRPr="005D5018">
        <w:t>-classico</w:t>
      </w:r>
      <w:r>
        <w:t xml:space="preserve"> (IV-I millennio a.C.). Al termine del corso ci si attende </w:t>
      </w:r>
      <w:r w:rsidRPr="005D5018">
        <w:t xml:space="preserve">da parte dello studente la conoscenza delle principali </w:t>
      </w:r>
      <w:r w:rsidR="00AA7D2B">
        <w:t>metodologie di studio</w:t>
      </w:r>
      <w:r w:rsidRPr="005D5018">
        <w:t xml:space="preserve"> e dello sviluppo cronologico della storia vicino-orientale antica, sulla base degli argomenti trattati a lezione e della parte manualistica.</w:t>
      </w:r>
      <w:r w:rsidR="00AA7D2B">
        <w:t xml:space="preserve"> Lo studente sarà in grado, applicando le predette conoscenze, di affrontare criticamente le problematiche storico-culturali dell’area vicino-orientale tra IV e I millennio a.C.</w:t>
      </w:r>
    </w:p>
    <w:p w14:paraId="0B1D7317" w14:textId="77777777" w:rsidR="00206F0D" w:rsidRPr="00206F0D" w:rsidRDefault="00206F0D" w:rsidP="00D70C5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D4F201" w14:textId="77777777" w:rsidR="00206F0D" w:rsidRDefault="00206F0D" w:rsidP="00D70C50">
      <w:pPr>
        <w:spacing w:line="240" w:lineRule="exact"/>
      </w:pPr>
      <w:r>
        <w:t>1.</w:t>
      </w:r>
      <w:r>
        <w:tab/>
      </w:r>
      <w:r w:rsidRPr="005D5018">
        <w:rPr>
          <w:i/>
        </w:rPr>
        <w:t>Parte generale</w:t>
      </w:r>
      <w:r>
        <w:t>: la riscoperta delle civiltà dell’antico Oriente e le origini dell’archeologia orientale. Le fonti, i metodi, i problemi della ricostruzione storica; la definizione della cronologia; la periodizzazione; quadro storico generale. Popoli, lingue, scritture del Vicino Oriente antico. La scrittura cuneiforme: il suo funzionamento e la storia del deciframento; le altre scritture; la nascita delle scritture alfabetiche.</w:t>
      </w:r>
    </w:p>
    <w:p w14:paraId="1B54D021" w14:textId="783D928E" w:rsidR="00206F0D" w:rsidRDefault="00206F0D" w:rsidP="00D70C50">
      <w:pPr>
        <w:spacing w:before="120" w:line="240" w:lineRule="exact"/>
      </w:pPr>
      <w:r>
        <w:t>2.</w:t>
      </w:r>
      <w:r>
        <w:tab/>
      </w:r>
      <w:r w:rsidRPr="005D5018">
        <w:rPr>
          <w:i/>
        </w:rPr>
        <w:t>Le fasi principali della storia del Vicino Oriente antico</w:t>
      </w:r>
      <w:r>
        <w:t xml:space="preserve">: La “Rivoluzione neolitica”. Le fasi protostoriche: la “Rivoluzione urbana”; la prima urbanizzazione e l’origine dello stato; l’organizzazione della società urbana; il funzionamento dell’amministrazione; la nascita della scrittura. L’età del Bronzo antico in Mesopotamia e Siria: il periodo protodinastico, Ebla, il regno di </w:t>
      </w:r>
      <w:proofErr w:type="spellStart"/>
      <w:r>
        <w:t>Akkad</w:t>
      </w:r>
      <w:proofErr w:type="spellEnd"/>
      <w:r>
        <w:t xml:space="preserve">, l’età neosumerica. L’età del Bronzo medio: gli Amorrei; interazione tra nomadi e sedentari; guerre e alleanze. L’età del Bronzo tardo: l’epoca di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Amarna</w:t>
      </w:r>
      <w:proofErr w:type="spellEnd"/>
      <w:r>
        <w:t xml:space="preserve"> e dei Grandi regni (Egitto, </w:t>
      </w:r>
      <w:proofErr w:type="spellStart"/>
      <w:r>
        <w:t>Mittani</w:t>
      </w:r>
      <w:proofErr w:type="spellEnd"/>
      <w:r>
        <w:t xml:space="preserve">, </w:t>
      </w:r>
      <w:proofErr w:type="spellStart"/>
      <w:r>
        <w:t>Hatti</w:t>
      </w:r>
      <w:proofErr w:type="spellEnd"/>
      <w:r>
        <w:t xml:space="preserve">, il regno medio-assiro, la Babilonia cassita). L’età del Ferro: stati nazionali e grandi imperi </w:t>
      </w:r>
      <w:r w:rsidR="00FF1FBB">
        <w:t>(</w:t>
      </w:r>
      <w:r>
        <w:t>Assiria e Babilonia).</w:t>
      </w:r>
    </w:p>
    <w:p w14:paraId="1FC14B92" w14:textId="42382C1E" w:rsidR="00206F0D" w:rsidRPr="00D70C50" w:rsidRDefault="00206F0D" w:rsidP="00D70C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D0BFD">
        <w:rPr>
          <w:rStyle w:val="Rimandonotaapidipagina"/>
          <w:b/>
          <w:i/>
          <w:sz w:val="18"/>
        </w:rPr>
        <w:footnoteReference w:id="1"/>
      </w:r>
    </w:p>
    <w:p w14:paraId="557CE1C0" w14:textId="77777777" w:rsidR="00206F0D" w:rsidRDefault="00206F0D" w:rsidP="00D70C50">
      <w:pPr>
        <w:pStyle w:val="Testo2"/>
        <w:ind w:firstLine="0"/>
      </w:pPr>
      <w:r>
        <w:t>Per la preparazione della parte generale si consiglia la lettura di:</w:t>
      </w:r>
    </w:p>
    <w:p w14:paraId="32ED680E" w14:textId="4E3E15C8" w:rsidR="00206F0D" w:rsidRPr="005D5018" w:rsidRDefault="00206F0D" w:rsidP="00206F0D">
      <w:pPr>
        <w:pStyle w:val="Testo2"/>
        <w:spacing w:line="240" w:lineRule="atLeast"/>
        <w:ind w:left="284" w:hanging="284"/>
        <w:rPr>
          <w:spacing w:val="-5"/>
        </w:rPr>
      </w:pPr>
      <w:r w:rsidRPr="00206F0D">
        <w:rPr>
          <w:smallCaps/>
          <w:spacing w:val="-5"/>
          <w:sz w:val="16"/>
        </w:rPr>
        <w:lastRenderedPageBreak/>
        <w:t>M. Liverani</w:t>
      </w:r>
      <w:r w:rsidRPr="005D5018">
        <w:rPr>
          <w:smallCaps/>
          <w:spacing w:val="-5"/>
          <w:sz w:val="16"/>
        </w:rPr>
        <w:t>,</w:t>
      </w:r>
      <w:r w:rsidRPr="005D5018">
        <w:rPr>
          <w:i/>
          <w:spacing w:val="-5"/>
        </w:rPr>
        <w:t xml:space="preserve"> Antico Oriente. Storia Società Economia,</w:t>
      </w:r>
      <w:r>
        <w:rPr>
          <w:spacing w:val="-5"/>
        </w:rPr>
        <w:t xml:space="preserve"> Laterza, Roma-Bari, 2011</w:t>
      </w:r>
      <w:r w:rsidRPr="005D5018">
        <w:rPr>
          <w:spacing w:val="-5"/>
        </w:rPr>
        <w:t xml:space="preserve"> (n</w:t>
      </w:r>
      <w:r>
        <w:rPr>
          <w:spacing w:val="-5"/>
        </w:rPr>
        <w:t>uova ed. aggiornata e riveduta</w:t>
      </w:r>
      <w:r w:rsidRPr="008326B7">
        <w:rPr>
          <w:i/>
          <w:spacing w:val="-5"/>
        </w:rPr>
        <w:t>. Nota bene</w:t>
      </w:r>
      <w:r w:rsidRPr="005D5018">
        <w:rPr>
          <w:spacing w:val="-5"/>
        </w:rPr>
        <w:t>: nel corso delle lezioni verranno indicate le parti da preparare per l’esame)</w:t>
      </w:r>
      <w:r>
        <w:rPr>
          <w:spacing w:val="-5"/>
        </w:rPr>
        <w:t>.</w:t>
      </w:r>
      <w:r w:rsidR="002D0BFD">
        <w:rPr>
          <w:spacing w:val="-5"/>
        </w:rPr>
        <w:t xml:space="preserve"> </w:t>
      </w:r>
      <w:hyperlink r:id="rId8" w:history="1">
        <w:r w:rsidR="002D0BFD" w:rsidRPr="002D0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8BDAABD" w14:textId="77777777" w:rsidR="00206F0D" w:rsidRDefault="00206F0D" w:rsidP="00D70C50">
      <w:pPr>
        <w:pStyle w:val="Testo2"/>
        <w:ind w:firstLine="0"/>
      </w:pPr>
      <w:r>
        <w:t>oppure in alternativa la lettura di:</w:t>
      </w:r>
    </w:p>
    <w:p w14:paraId="7F4C03B3" w14:textId="58A39D5E" w:rsidR="00206F0D" w:rsidRPr="00206F0D" w:rsidRDefault="00206F0D" w:rsidP="00206F0D">
      <w:pPr>
        <w:pStyle w:val="Testo2"/>
        <w:spacing w:line="240" w:lineRule="atLeast"/>
        <w:ind w:left="284" w:hanging="284"/>
        <w:rPr>
          <w:spacing w:val="-5"/>
        </w:rPr>
      </w:pPr>
      <w:r w:rsidRPr="005D5018">
        <w:rPr>
          <w:smallCaps/>
          <w:spacing w:val="-5"/>
          <w:sz w:val="16"/>
        </w:rPr>
        <w:t>L</w:t>
      </w:r>
      <w:r>
        <w:rPr>
          <w:smallCaps/>
          <w:spacing w:val="-5"/>
          <w:sz w:val="16"/>
        </w:rPr>
        <w:t>.</w:t>
      </w:r>
      <w:r w:rsidRPr="005D5018">
        <w:rPr>
          <w:smallCaps/>
          <w:spacing w:val="-5"/>
          <w:sz w:val="16"/>
        </w:rPr>
        <w:t xml:space="preserve"> Milano </w:t>
      </w:r>
      <w:r w:rsidRPr="00D70C50">
        <w:rPr>
          <w:spacing w:val="-5"/>
        </w:rPr>
        <w:t>(a cura di),</w:t>
      </w:r>
      <w:r w:rsidRPr="00206F0D">
        <w:rPr>
          <w:i/>
          <w:spacing w:val="-5"/>
        </w:rPr>
        <w:t xml:space="preserve"> Il Vicino Oriente antico dalle origini ad Alessandro Magno,</w:t>
      </w:r>
      <w:r w:rsidRPr="00206F0D">
        <w:rPr>
          <w:spacing w:val="-5"/>
        </w:rPr>
        <w:t xml:space="preserve"> Encyclomedia, 2012.</w:t>
      </w:r>
      <w:r w:rsidR="002D0BFD">
        <w:rPr>
          <w:spacing w:val="-5"/>
        </w:rPr>
        <w:t xml:space="preserve"> </w:t>
      </w:r>
      <w:hyperlink r:id="rId9" w:history="1">
        <w:r w:rsidR="002D0BFD" w:rsidRPr="002D0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36F193" w14:textId="77777777" w:rsidR="00206F0D" w:rsidRDefault="00D70C50" w:rsidP="00D70C50">
      <w:pPr>
        <w:pStyle w:val="Testo1"/>
      </w:pPr>
      <w:r>
        <w:t>C</w:t>
      </w:r>
      <w:r w:rsidR="00206F0D">
        <w:t>on la lettura di almeno due a scelta dei seguenti volumi:</w:t>
      </w:r>
    </w:p>
    <w:p w14:paraId="30DE5E82" w14:textId="77777777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>V. Biga</w:t>
      </w:r>
      <w:r w:rsidRPr="005D5018">
        <w:rPr>
          <w:smallCaps/>
          <w:sz w:val="16"/>
        </w:rPr>
        <w:t>,</w:t>
      </w:r>
      <w:r w:rsidRPr="005D5018">
        <w:rPr>
          <w:i/>
        </w:rPr>
        <w:t xml:space="preserve"> I Babilonesi,</w:t>
      </w:r>
      <w:r w:rsidRPr="005D5018">
        <w:t xml:space="preserve"> Carocci, Roma, 2004.</w:t>
      </w:r>
    </w:p>
    <w:p w14:paraId="5DDC6D5A" w14:textId="44F2B524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>E. Cancik-Kirschbaum</w:t>
      </w:r>
      <w:r w:rsidRPr="005D5018">
        <w:rPr>
          <w:smallCaps/>
          <w:sz w:val="16"/>
        </w:rPr>
        <w:t>,</w:t>
      </w:r>
      <w:r w:rsidRPr="005D5018">
        <w:rPr>
          <w:i/>
        </w:rPr>
        <w:t xml:space="preserve"> Gli assiri,</w:t>
      </w:r>
      <w:r w:rsidRPr="005D5018">
        <w:t xml:space="preserve"> Il Mulino, Bologna, 2007.</w:t>
      </w:r>
      <w:r w:rsidR="002D0BFD">
        <w:t xml:space="preserve"> </w:t>
      </w:r>
      <w:hyperlink r:id="rId10" w:history="1">
        <w:r w:rsidR="002D0BFD" w:rsidRPr="002D0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C5C0483" w14:textId="795827FC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>S. De Martino</w:t>
      </w:r>
      <w:r w:rsidRPr="005D5018">
        <w:rPr>
          <w:smallCaps/>
          <w:sz w:val="16"/>
        </w:rPr>
        <w:t>,</w:t>
      </w:r>
      <w:r w:rsidRPr="005D5018">
        <w:rPr>
          <w:i/>
        </w:rPr>
        <w:t xml:space="preserve"> Gli Ittiti,</w:t>
      </w:r>
      <w:r w:rsidRPr="005D5018">
        <w:t xml:space="preserve"> Carocci, Roma, 2003.</w:t>
      </w:r>
      <w:r w:rsidR="002D0BFD">
        <w:t xml:space="preserve"> </w:t>
      </w:r>
      <w:hyperlink r:id="rId11" w:history="1">
        <w:r w:rsidR="002D0BFD" w:rsidRPr="002D0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126083B" w14:textId="05453C7C" w:rsidR="00206F0D" w:rsidRPr="005D5018" w:rsidRDefault="00206F0D" w:rsidP="00206F0D">
      <w:pPr>
        <w:pStyle w:val="Testo2"/>
        <w:spacing w:line="240" w:lineRule="atLeast"/>
        <w:ind w:left="284" w:hanging="284"/>
      </w:pPr>
      <w:r w:rsidRPr="00206F0D">
        <w:rPr>
          <w:smallCaps/>
          <w:spacing w:val="-5"/>
          <w:sz w:val="16"/>
        </w:rPr>
        <w:t xml:space="preserve">M. Jursa, </w:t>
      </w:r>
      <w:r w:rsidRPr="005D5018">
        <w:rPr>
          <w:i/>
        </w:rPr>
        <w:t>I babilonesi,</w:t>
      </w:r>
      <w:r w:rsidRPr="005D5018">
        <w:t xml:space="preserve"> Il Mulino, Bologna, 2007.</w:t>
      </w:r>
      <w:r w:rsidR="002D0BFD">
        <w:t xml:space="preserve"> </w:t>
      </w:r>
      <w:hyperlink r:id="rId12" w:history="1">
        <w:r w:rsidR="002D0BFD" w:rsidRPr="002D0B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1695FA" w14:textId="20181BDF" w:rsidR="00206F0D" w:rsidRPr="00206F0D" w:rsidRDefault="00206F0D" w:rsidP="00206F0D">
      <w:pPr>
        <w:pStyle w:val="Testo2"/>
        <w:spacing w:line="240" w:lineRule="atLeast"/>
        <w:ind w:left="284" w:hanging="284"/>
        <w:rPr>
          <w:spacing w:val="-5"/>
        </w:rPr>
      </w:pPr>
      <w:r w:rsidRPr="005D5018">
        <w:rPr>
          <w:smallCaps/>
          <w:sz w:val="16"/>
        </w:rPr>
        <w:t>P. Mander</w:t>
      </w:r>
      <w:r w:rsidRPr="00206F0D">
        <w:rPr>
          <w:smallCaps/>
          <w:spacing w:val="-5"/>
          <w:sz w:val="16"/>
        </w:rPr>
        <w:t>,</w:t>
      </w:r>
      <w:r w:rsidRPr="00206F0D">
        <w:rPr>
          <w:i/>
          <w:spacing w:val="-5"/>
        </w:rPr>
        <w:t xml:space="preserve"> I Sumeri,</w:t>
      </w:r>
      <w:r w:rsidRPr="00206F0D">
        <w:rPr>
          <w:spacing w:val="-5"/>
        </w:rPr>
        <w:t xml:space="preserve"> Carocci, Roma, 2007.</w:t>
      </w:r>
      <w:bookmarkStart w:id="0" w:name="_GoBack"/>
      <w:bookmarkEnd w:id="0"/>
    </w:p>
    <w:p w14:paraId="3C8469CB" w14:textId="5E3B4A00" w:rsidR="00206F0D" w:rsidRDefault="00206F0D" w:rsidP="00D70C50">
      <w:pPr>
        <w:pStyle w:val="Testo1"/>
      </w:pPr>
      <w:r>
        <w:t xml:space="preserve">Il programma dettagliato dell’esame </w:t>
      </w:r>
      <w:r w:rsidR="00FF1FBB">
        <w:t>sarà fornito all’inizio del corso e</w:t>
      </w:r>
      <w:r>
        <w:t xml:space="preserve"> consultabile sulla pagi</w:t>
      </w:r>
      <w:r w:rsidR="00FF1FBB">
        <w:t>n</w:t>
      </w:r>
      <w:r>
        <w:t>a personale del docente, alla sezione “Materiali”.</w:t>
      </w:r>
    </w:p>
    <w:p w14:paraId="3EDB5FA5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0F1210D" w14:textId="77777777" w:rsidR="00206F0D" w:rsidRDefault="00206F0D" w:rsidP="00206F0D">
      <w:pPr>
        <w:pStyle w:val="Testo2"/>
      </w:pPr>
      <w:r w:rsidRPr="005D5018">
        <w:t>Lezioni in aula, con sussidi didattici (fotocopie, presentazioni in power point).</w:t>
      </w:r>
    </w:p>
    <w:p w14:paraId="3D8D969C" w14:textId="77777777" w:rsidR="00206F0D" w:rsidRPr="00206F0D" w:rsidRDefault="00206F0D" w:rsidP="00206F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D7C2EC" w14:textId="77777777" w:rsidR="00206F0D" w:rsidRDefault="00206F0D" w:rsidP="00206F0D">
      <w:pPr>
        <w:pStyle w:val="Testo2"/>
      </w:pPr>
      <w:r w:rsidRPr="005D5018">
        <w:t>L’esame consiste in una prova orale volta a verificare, in 3-4 domande</w:t>
      </w:r>
      <w:bookmarkStart w:id="1" w:name="_Hlk11849757"/>
      <w:r w:rsidRPr="005D5018">
        <w:t>, la conoscenza da parte dello studente delle principali problematiche e dello sviluppo cronologico della storia vicino-orientale antica, sulla base degli argomenti trattati a lezione e della parte manualistica.</w:t>
      </w:r>
      <w:bookmarkEnd w:id="1"/>
      <w:r w:rsidRPr="005D5018">
        <w:t xml:space="preserve"> Il voto finale, espresso in trentesimi, terrà conto dell’esattezza e della qualità delle risposte (fino al 70%), nonché della capacità da parte dello studente di esporre gli argomenti in maniera ordinata e coerente, utilizzando un lessico appropriato (fino al 30%).</w:t>
      </w:r>
    </w:p>
    <w:p w14:paraId="5F2AC8D1" w14:textId="4FDFE214" w:rsidR="00AA7D2B" w:rsidRDefault="00206F0D" w:rsidP="00206F0D">
      <w:pPr>
        <w:spacing w:before="240" w:after="120" w:line="240" w:lineRule="exact"/>
        <w:rPr>
          <w:b/>
          <w:iCs/>
          <w:sz w:val="18"/>
        </w:rPr>
      </w:pPr>
      <w:r>
        <w:rPr>
          <w:b/>
          <w:i/>
          <w:sz w:val="18"/>
        </w:rPr>
        <w:t>AVVERTENZE E PREREQUISITI</w:t>
      </w:r>
    </w:p>
    <w:p w14:paraId="5AF10802" w14:textId="1F5E2E23" w:rsidR="00AA7D2B" w:rsidRDefault="00AA7D2B" w:rsidP="00F6261B">
      <w:pPr>
        <w:spacing w:before="120" w:after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ab/>
        <w:t>Per il suo carattere introduttivo, l’insegnamento non necessita di prerequisiti relativi ai contenuti</w:t>
      </w:r>
      <w:r w:rsidR="007A57AB">
        <w:rPr>
          <w:bCs/>
          <w:iCs/>
          <w:sz w:val="18"/>
        </w:rPr>
        <w:t>. È tuttavia auspicabile da parte dello studente un interesse per la storia e la cultura del mondo antico.</w:t>
      </w:r>
    </w:p>
    <w:p w14:paraId="5EE7AE33" w14:textId="77777777" w:rsidR="00F6261B" w:rsidRDefault="00F6261B" w:rsidP="00F6261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912C30D" w14:textId="77777777" w:rsidR="00F6261B" w:rsidRDefault="00F6261B" w:rsidP="00F6261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01D6DE4" w14:textId="77777777" w:rsidR="00206F0D" w:rsidRPr="005D5018" w:rsidRDefault="00206F0D" w:rsidP="00F6261B">
      <w:pPr>
        <w:pStyle w:val="Testo2"/>
        <w:spacing w:before="120"/>
        <w:rPr>
          <w:i/>
        </w:rPr>
      </w:pPr>
      <w:r w:rsidRPr="005D5018">
        <w:rPr>
          <w:i/>
        </w:rPr>
        <w:t>Orario e luogo di ricevimento</w:t>
      </w:r>
    </w:p>
    <w:p w14:paraId="340DC35B" w14:textId="77777777" w:rsidR="00206F0D" w:rsidRPr="00206F0D" w:rsidRDefault="00206F0D" w:rsidP="00206F0D">
      <w:pPr>
        <w:pStyle w:val="Testo2"/>
      </w:pPr>
      <w:r>
        <w:lastRenderedPageBreak/>
        <w:t xml:space="preserve">Il Prof. </w:t>
      </w:r>
      <w:r w:rsidRPr="00206F0D">
        <w:t>Mauro Giorgieri riceve gli studenti durante il periodo delle lezioni (II semestre) un’ora prima delle lezioni, presso l’Istituto di Glottologia. Negli altri mesi dell’anno concordare appuntamento con docente via e-mail (mauro.giorgieri@unipv.it).</w:t>
      </w:r>
    </w:p>
    <w:sectPr w:rsidR="00206F0D" w:rsidRPr="00206F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FDB3E" w14:textId="77777777" w:rsidR="002D0BFD" w:rsidRDefault="002D0BFD" w:rsidP="002D0BFD">
      <w:pPr>
        <w:spacing w:line="240" w:lineRule="auto"/>
      </w:pPr>
      <w:r>
        <w:separator/>
      </w:r>
    </w:p>
  </w:endnote>
  <w:endnote w:type="continuationSeparator" w:id="0">
    <w:p w14:paraId="592E10C7" w14:textId="77777777" w:rsidR="002D0BFD" w:rsidRDefault="002D0BFD" w:rsidP="002D0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320CD" w14:textId="77777777" w:rsidR="002D0BFD" w:rsidRDefault="002D0BFD" w:rsidP="002D0BFD">
      <w:pPr>
        <w:spacing w:line="240" w:lineRule="auto"/>
      </w:pPr>
      <w:r>
        <w:separator/>
      </w:r>
    </w:p>
  </w:footnote>
  <w:footnote w:type="continuationSeparator" w:id="0">
    <w:p w14:paraId="1DEB937A" w14:textId="77777777" w:rsidR="002D0BFD" w:rsidRDefault="002D0BFD" w:rsidP="002D0BFD">
      <w:pPr>
        <w:spacing w:line="240" w:lineRule="auto"/>
      </w:pPr>
      <w:r>
        <w:continuationSeparator/>
      </w:r>
    </w:p>
  </w:footnote>
  <w:footnote w:id="1">
    <w:p w14:paraId="00015079" w14:textId="60E65C0A" w:rsidR="002D0BFD" w:rsidRDefault="002D0B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0D"/>
    <w:rsid w:val="00187B99"/>
    <w:rsid w:val="002014DD"/>
    <w:rsid w:val="00206F0D"/>
    <w:rsid w:val="002D0BFD"/>
    <w:rsid w:val="002D5E17"/>
    <w:rsid w:val="004D1217"/>
    <w:rsid w:val="004D6008"/>
    <w:rsid w:val="004E0266"/>
    <w:rsid w:val="00640794"/>
    <w:rsid w:val="006F1772"/>
    <w:rsid w:val="007A57AB"/>
    <w:rsid w:val="008942E7"/>
    <w:rsid w:val="008A1204"/>
    <w:rsid w:val="00900CCA"/>
    <w:rsid w:val="00924B77"/>
    <w:rsid w:val="00940DA2"/>
    <w:rsid w:val="009E055C"/>
    <w:rsid w:val="00A74F6F"/>
    <w:rsid w:val="00AA7D2B"/>
    <w:rsid w:val="00AD7557"/>
    <w:rsid w:val="00B50C5D"/>
    <w:rsid w:val="00B51253"/>
    <w:rsid w:val="00B525CC"/>
    <w:rsid w:val="00D3729B"/>
    <w:rsid w:val="00D404F2"/>
    <w:rsid w:val="00D70C50"/>
    <w:rsid w:val="00E607E6"/>
    <w:rsid w:val="00F6261B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1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B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0BFD"/>
  </w:style>
  <w:style w:type="character" w:styleId="Rimandonotaapidipagina">
    <w:name w:val="footnote reference"/>
    <w:basedOn w:val="Carpredefinitoparagrafo"/>
    <w:rsid w:val="002D0BFD"/>
    <w:rPr>
      <w:vertAlign w:val="superscript"/>
    </w:rPr>
  </w:style>
  <w:style w:type="character" w:styleId="Collegamentoipertestuale">
    <w:name w:val="Hyperlink"/>
    <w:basedOn w:val="Carpredefinitoparagrafo"/>
    <w:rsid w:val="002D0B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F6261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D0B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D0BFD"/>
  </w:style>
  <w:style w:type="character" w:styleId="Rimandonotaapidipagina">
    <w:name w:val="footnote reference"/>
    <w:basedOn w:val="Carpredefinitoparagrafo"/>
    <w:rsid w:val="002D0BFD"/>
    <w:rPr>
      <w:vertAlign w:val="superscript"/>
    </w:rPr>
  </w:style>
  <w:style w:type="character" w:styleId="Collegamentoipertestuale">
    <w:name w:val="Hyperlink"/>
    <w:basedOn w:val="Carpredefinitoparagrafo"/>
    <w:rsid w:val="002D0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o-liverani/antico-oriente-storia-societa-economia-9788842095880-20937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icheal-jursa/i-babilonesi-9788815114686-21312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tefano-de-martino/gli-ittiti-9788843026791-21246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va-cancik-kirschbaum/gli-assiri-9788815114662-2131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vicino-oriente-antico-dalle-origini-ad-alessandro-magno-9788897514091-520193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20ED-BD1F-4BB3-954C-7B51791C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656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2020-06-18T14:27:00Z</dcterms:created>
  <dcterms:modified xsi:type="dcterms:W3CDTF">2020-07-15T08:17:00Z</dcterms:modified>
</cp:coreProperties>
</file>