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B3" w:rsidRPr="009D01B3" w:rsidRDefault="009D01B3" w:rsidP="009D01B3">
      <w:pPr>
        <w:pStyle w:val="Titolo1"/>
      </w:pPr>
      <w:r w:rsidRPr="009D01B3">
        <w:t>Storia dell’architettura contemporanea</w:t>
      </w:r>
    </w:p>
    <w:p w:rsidR="002D5E17" w:rsidRDefault="009D01B3" w:rsidP="009D01B3">
      <w:pPr>
        <w:pStyle w:val="Titolo2"/>
      </w:pPr>
      <w:r w:rsidRPr="009D01B3">
        <w:t>Prof. Paola Proverbio</w:t>
      </w:r>
    </w:p>
    <w:p w:rsidR="009D01B3" w:rsidRDefault="009D01B3" w:rsidP="009D01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D01B3" w:rsidRPr="00DD5E8A" w:rsidRDefault="009D01B3" w:rsidP="009E640E">
      <w:pPr>
        <w:spacing w:line="240" w:lineRule="exact"/>
      </w:pPr>
      <w:r w:rsidRPr="00DD5E8A">
        <w:t xml:space="preserve">L’insegnamento intende fornire gli strumenti storico critici per la comprensione dell’architettura contemporanea nel periodo che va dalla metà del XIX secolo agli sviluppi </w:t>
      </w:r>
      <w:r>
        <w:t>dei nostri giorni</w:t>
      </w:r>
      <w:r w:rsidRPr="00DD5E8A">
        <w:t>.</w:t>
      </w:r>
    </w:p>
    <w:p w:rsidR="009D01B3" w:rsidRPr="00DD5E8A" w:rsidRDefault="009D01B3" w:rsidP="009E640E">
      <w:pPr>
        <w:spacing w:line="240" w:lineRule="exact"/>
      </w:pPr>
      <w:r w:rsidRPr="00DD5E8A">
        <w:t>In particolare, tenendo conto del complesso legame tra ideologie progettuali e modernità nei primi decenni del XX secolo, così come della varietà delle forme espressive emerse dal secondo dopoguerra, il corso tende ad evidenziare la pluralità dei linguaggi, i diversi temi e problemi che hanno segnato questa disciplina e che ancora oggi ne contraddistinguono l’articolato scenario.</w:t>
      </w:r>
    </w:p>
    <w:p w:rsidR="009D01B3" w:rsidRPr="00ED61DB" w:rsidRDefault="009D01B3" w:rsidP="009E640E">
      <w:pPr>
        <w:spacing w:line="240" w:lineRule="exact"/>
        <w:rPr>
          <w:rFonts w:eastAsia="MS Mincho"/>
        </w:rPr>
      </w:pPr>
      <w:r w:rsidRPr="00ED61DB">
        <w:rPr>
          <w:rFonts w:eastAsia="MS Mincho"/>
        </w:rPr>
        <w:t xml:space="preserve">Al termine dell’insegnamento, lo studente avrà acquisito i fondamenti della disciplina attraverso i quali leggere dal punto di vista storico e critico il progetto architettonico; </w:t>
      </w:r>
      <w:r w:rsidRPr="00300F0B">
        <w:rPr>
          <w:rFonts w:eastAsia="MS Mincho"/>
        </w:rPr>
        <w:t>s</w:t>
      </w:r>
      <w:r w:rsidRPr="00525DFB">
        <w:rPr>
          <w:rFonts w:eastAsia="MS Mincho"/>
        </w:rPr>
        <w:t>arà</w:t>
      </w:r>
      <w:r w:rsidRPr="00ED61DB">
        <w:rPr>
          <w:rFonts w:eastAsia="MS Mincho"/>
        </w:rPr>
        <w:t xml:space="preserve"> in grado di comunicare </w:t>
      </w:r>
      <w:r>
        <w:rPr>
          <w:rFonts w:eastAsia="MS Mincho"/>
        </w:rPr>
        <w:t xml:space="preserve">con un lessico appropriato </w:t>
      </w:r>
      <w:r w:rsidRPr="00ED61DB">
        <w:rPr>
          <w:rFonts w:eastAsia="MS Mincho"/>
        </w:rPr>
        <w:t>le tematiche dell'architettura contemporanea e avrà maturato la capacità di comprendere i principali aspetti del dibattito culturale e della produzione architettonica della contemporaneità.</w:t>
      </w:r>
    </w:p>
    <w:p w:rsidR="009D01B3" w:rsidRDefault="009D01B3" w:rsidP="009D01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D01B3" w:rsidRDefault="009D01B3" w:rsidP="009E640E">
      <w:pPr>
        <w:spacing w:line="240" w:lineRule="exact"/>
      </w:pPr>
      <w:r>
        <w:t xml:space="preserve">Il corso è diviso in due parti: </w:t>
      </w:r>
    </w:p>
    <w:p w:rsidR="009D01B3" w:rsidRDefault="009D01B3" w:rsidP="009E640E">
      <w:pPr>
        <w:spacing w:line="240" w:lineRule="exact"/>
      </w:pPr>
      <w:r>
        <w:t>la</w:t>
      </w:r>
      <w:r w:rsidRPr="0062247E">
        <w:t xml:space="preserve"> principale</w:t>
      </w:r>
      <w:r>
        <w:t xml:space="preserve"> è dedicata</w:t>
      </w:r>
      <w:r w:rsidRPr="00DD5E8A">
        <w:t xml:space="preserve"> </w:t>
      </w:r>
      <w:r>
        <w:t>a</w:t>
      </w:r>
      <w:r w:rsidRPr="00DD5E8A">
        <w:t>i passaggi più significativi della cultura del progetto nell’arco cronologico</w:t>
      </w:r>
      <w:r>
        <w:t xml:space="preserve"> che va dalla metà circa del XIX secolo fino agli anni Sessanta del Novecento: </w:t>
      </w:r>
      <w:r w:rsidRPr="00DD5E8A">
        <w:t>dal Crystal Palace alla nascita del grattacielo e all’Art Nouveau</w:t>
      </w:r>
      <w:r>
        <w:t>;</w:t>
      </w:r>
      <w:r w:rsidRPr="00833A11">
        <w:t xml:space="preserve"> </w:t>
      </w:r>
      <w:r w:rsidRPr="00DD5E8A">
        <w:t>dall’apporto delle avanguardie (Futurismo, De Stijl, Espressionismo, Costruttivismo), all’opera dei Maestri del Moderno (F. L.Wright, Le Corbusier, L. Mies van der Rohe, W.Gropius) e di altre figure e tendenze espressive (H. Scharoun, A. Aalto)</w:t>
      </w:r>
      <w:r>
        <w:t>.</w:t>
      </w:r>
      <w:r w:rsidRPr="00DD5E8A">
        <w:t xml:space="preserve"> </w:t>
      </w:r>
    </w:p>
    <w:p w:rsidR="009D01B3" w:rsidRDefault="009D01B3" w:rsidP="009E640E">
      <w:pPr>
        <w:spacing w:before="120" w:line="240" w:lineRule="exact"/>
      </w:pPr>
      <w:r>
        <w:t>Nella seconda parte del corso</w:t>
      </w:r>
      <w:r w:rsidRPr="00833A11">
        <w:t xml:space="preserve"> </w:t>
      </w:r>
      <w:r>
        <w:t>viene</w:t>
      </w:r>
      <w:r w:rsidRPr="00DD5E8A">
        <w:t xml:space="preserve"> messo maggiormente in evidenza il rapporto tra progettazione architettonica e sviluppo o rigenerazione della città, attraverso il paradigma di tre contesti urbani significativi – Parigi per gli anni Ottanta, Berlino per i Novanta e Milano per i Duemila – a testimonianza dei cambiamenti di un’architettura che non si basa sostanzialmente più sulla messa a punto di schemi e modelli da replicare ovunque a livello internazionale, ma si fonda ormai sull’</w:t>
      </w:r>
      <w:r w:rsidRPr="00DD5E8A">
        <w:rPr>
          <w:i/>
        </w:rPr>
        <w:t>invenzione progettuale</w:t>
      </w:r>
      <w:r w:rsidRPr="00DD5E8A">
        <w:t xml:space="preserve"> che si lega ad un contesto ambientale specifico, con le sue valenze temporali e locali. Condizione questa profondamente segnata dal passaggio all’informatizzazione dei processi progettuali, dalla varietà dei linguaggi </w:t>
      </w:r>
      <w:r w:rsidRPr="00DD5E8A">
        <w:lastRenderedPageBreak/>
        <w:t>(tra decostruttivismo, high-tech e minimalismo), dai materiali</w:t>
      </w:r>
      <w:r>
        <w:t xml:space="preserve"> e</w:t>
      </w:r>
      <w:r w:rsidRPr="00DD5E8A">
        <w:t xml:space="preserve"> dai temi della sostenibilità</w:t>
      </w:r>
      <w:r>
        <w:t>.</w:t>
      </w:r>
    </w:p>
    <w:p w:rsidR="009D01B3" w:rsidRPr="009E640E" w:rsidRDefault="009D01B3" w:rsidP="009E64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47ED3">
        <w:rPr>
          <w:rStyle w:val="Rimandonotaapidipagina"/>
          <w:b/>
          <w:i/>
          <w:sz w:val="18"/>
        </w:rPr>
        <w:footnoteReference w:id="1"/>
      </w:r>
    </w:p>
    <w:p w:rsidR="009D01B3" w:rsidRPr="00DD5E8A" w:rsidRDefault="009D01B3" w:rsidP="009D01B3">
      <w:pPr>
        <w:pStyle w:val="Testo1"/>
      </w:pPr>
      <w:bookmarkStart w:id="0" w:name="_Hlk10474474"/>
      <w:r w:rsidRPr="00DD5E8A">
        <w:t>Un manuale a scelta tra i seguenti:</w:t>
      </w:r>
    </w:p>
    <w:p w:rsidR="009D01B3" w:rsidRPr="009D01B3" w:rsidRDefault="009D01B3" w:rsidP="009D01B3">
      <w:pPr>
        <w:pStyle w:val="Testo1"/>
        <w:spacing w:before="0" w:line="240" w:lineRule="atLeast"/>
        <w:rPr>
          <w:spacing w:val="-5"/>
        </w:rPr>
      </w:pPr>
      <w:r w:rsidRPr="009D01B3">
        <w:rPr>
          <w:smallCaps/>
          <w:spacing w:val="-5"/>
          <w:sz w:val="16"/>
          <w:szCs w:val="16"/>
        </w:rPr>
        <w:t>W. Curtis</w:t>
      </w:r>
      <w:r w:rsidRPr="009D01B3">
        <w:rPr>
          <w:smallCaps/>
          <w:spacing w:val="-5"/>
          <w:sz w:val="16"/>
        </w:rPr>
        <w:t>,</w:t>
      </w:r>
      <w:r w:rsidRPr="009D01B3">
        <w:rPr>
          <w:i/>
          <w:spacing w:val="-5"/>
        </w:rPr>
        <w:t xml:space="preserve"> L’architettura moderna dal 1900,</w:t>
      </w:r>
      <w:r w:rsidRPr="009D01B3">
        <w:rPr>
          <w:spacing w:val="-5"/>
        </w:rPr>
        <w:t xml:space="preserve"> Phaidon, 2006. </w:t>
      </w:r>
      <w:hyperlink r:id="rId8" w:history="1">
        <w:r w:rsidR="00147ED3" w:rsidRPr="00147E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D01B3" w:rsidRPr="009D01B3" w:rsidRDefault="009D01B3" w:rsidP="009D01B3">
      <w:pPr>
        <w:pStyle w:val="Testo1"/>
        <w:spacing w:before="0" w:line="240" w:lineRule="atLeast"/>
        <w:rPr>
          <w:spacing w:val="-5"/>
        </w:rPr>
      </w:pPr>
      <w:r w:rsidRPr="009D01B3">
        <w:rPr>
          <w:smallCaps/>
          <w:spacing w:val="-5"/>
          <w:sz w:val="16"/>
          <w:szCs w:val="16"/>
        </w:rPr>
        <w:t>K. Frampton</w:t>
      </w:r>
      <w:r w:rsidRPr="009D01B3">
        <w:rPr>
          <w:smallCaps/>
          <w:spacing w:val="-5"/>
          <w:sz w:val="16"/>
        </w:rPr>
        <w:t>,</w:t>
      </w:r>
      <w:r w:rsidRPr="009D01B3">
        <w:rPr>
          <w:i/>
          <w:spacing w:val="-5"/>
        </w:rPr>
        <w:t xml:space="preserve"> Storia dell’architettura moderna,</w:t>
      </w:r>
      <w:r w:rsidRPr="009D01B3">
        <w:rPr>
          <w:spacing w:val="-5"/>
        </w:rPr>
        <w:t xml:space="preserve"> Zanichelli, Bologna, 2008.</w:t>
      </w:r>
      <w:r w:rsidR="00147ED3">
        <w:rPr>
          <w:spacing w:val="-5"/>
        </w:rPr>
        <w:t xml:space="preserve"> </w:t>
      </w:r>
      <w:hyperlink r:id="rId9" w:history="1">
        <w:r w:rsidR="00147ED3" w:rsidRPr="00147E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  <w:r w:rsidRPr="009D01B3">
        <w:rPr>
          <w:spacing w:val="-5"/>
        </w:rPr>
        <w:t xml:space="preserve"> </w:t>
      </w:r>
    </w:p>
    <w:bookmarkEnd w:id="0"/>
    <w:p w:rsidR="009D01B3" w:rsidRPr="00DD5E8A" w:rsidRDefault="009D01B3" w:rsidP="009D01B3">
      <w:pPr>
        <w:pStyle w:val="Testo1"/>
      </w:pPr>
      <w:r>
        <w:t>I capitoli da studiare per ogni libro saranno indicati co</w:t>
      </w:r>
      <w:r w:rsidRPr="00DD5E8A">
        <w:t>n l’avvio del corso</w:t>
      </w:r>
      <w:r>
        <w:t>, così come un’antologia di testi ad integrazione degli argomenti non presenti nei suddetti manuali sarà disponibile presso la Fotocopisteria UC.</w:t>
      </w:r>
    </w:p>
    <w:p w:rsidR="009D01B3" w:rsidRDefault="009D01B3" w:rsidP="009D01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D01B3" w:rsidRPr="009D01B3" w:rsidRDefault="009D01B3" w:rsidP="009D01B3">
      <w:pPr>
        <w:pStyle w:val="Testo2"/>
      </w:pPr>
      <w:bookmarkStart w:id="2" w:name="_Hlk10480472"/>
      <w:r w:rsidRPr="009D01B3">
        <w:t xml:space="preserve">Il corso, basato su tradizionali lezioni ex cathedra con proiezioni di immagini e video, sarà integrato </w:t>
      </w:r>
      <w:bookmarkEnd w:id="2"/>
      <w:r w:rsidRPr="009D01B3">
        <w:t>all’occasione da visite guidate di approfondimento.</w:t>
      </w:r>
    </w:p>
    <w:p w:rsidR="009D01B3" w:rsidRDefault="009D01B3" w:rsidP="009D01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D01B3" w:rsidRPr="009D01B3" w:rsidRDefault="009D01B3" w:rsidP="009D01B3">
      <w:pPr>
        <w:pStyle w:val="Testo2"/>
      </w:pPr>
      <w:r w:rsidRPr="009D01B3">
        <w:t>La valutazione finale consiste in una prova orale volta ad accertare la conoscenza dei contenuti delle lezioni e della bibliografia obbligatoria. Chiarezza espositiva, capacità di sintesi e di elaborazione critica, assieme alla proprietà di linguaggio costituiranno i fondamentali criteri di giudizio.</w:t>
      </w:r>
    </w:p>
    <w:p w:rsidR="009D01B3" w:rsidRDefault="009D01B3" w:rsidP="009D01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021DF" w:rsidRDefault="001021DF" w:rsidP="009D01B3">
      <w:pPr>
        <w:pStyle w:val="Testo2"/>
      </w:pPr>
      <w:r w:rsidRPr="009D01B3">
        <w:t>Il corso ha carattere introduttivo. Non sono quindi richiesti prerequisiti. Eventuali carenze verranno colmate da suggerimenti di lettura o, su richiesta, da specifici interventi.</w:t>
      </w:r>
    </w:p>
    <w:p w:rsidR="00F47708" w:rsidRDefault="00F47708" w:rsidP="00F47708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:rsidR="009D01B3" w:rsidRPr="001021DF" w:rsidRDefault="009D01B3" w:rsidP="001021DF">
      <w:pPr>
        <w:pStyle w:val="Testo2"/>
        <w:spacing w:before="120"/>
        <w:rPr>
          <w:i/>
        </w:rPr>
      </w:pPr>
      <w:r w:rsidRPr="001021DF">
        <w:rPr>
          <w:i/>
        </w:rPr>
        <w:t>Orario e luogo di ricevimento</w:t>
      </w:r>
    </w:p>
    <w:p w:rsidR="009D01B3" w:rsidRPr="009D01B3" w:rsidRDefault="009D01B3" w:rsidP="009D01B3">
      <w:pPr>
        <w:pStyle w:val="Testo2"/>
      </w:pPr>
      <w:r w:rsidRPr="009D01B3">
        <w:t>Il Prof. Paola Proverbio riceve gli studenti nel suo studio presso il Dipartimento di Storia, Archeologia e Storia dell'arte, previa comunicazione e-mail (</w:t>
      </w:r>
      <w:r w:rsidRPr="001021DF">
        <w:rPr>
          <w:i/>
        </w:rPr>
        <w:t>paola.proverbio@unicatt.it</w:t>
      </w:r>
      <w:r w:rsidRPr="009D01B3">
        <w:t>). Al termine del corso solo su appuntamento, previa comunicazione e-mail.</w:t>
      </w:r>
    </w:p>
    <w:sectPr w:rsidR="009D01B3" w:rsidRPr="009D01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3" w:rsidRDefault="00147ED3" w:rsidP="00147ED3">
      <w:pPr>
        <w:spacing w:line="240" w:lineRule="auto"/>
      </w:pPr>
      <w:r>
        <w:separator/>
      </w:r>
    </w:p>
  </w:endnote>
  <w:endnote w:type="continuationSeparator" w:id="0">
    <w:p w:rsidR="00147ED3" w:rsidRDefault="00147ED3" w:rsidP="00147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3" w:rsidRDefault="00147ED3" w:rsidP="00147ED3">
      <w:pPr>
        <w:spacing w:line="240" w:lineRule="auto"/>
      </w:pPr>
      <w:r>
        <w:separator/>
      </w:r>
    </w:p>
  </w:footnote>
  <w:footnote w:type="continuationSeparator" w:id="0">
    <w:p w:rsidR="00147ED3" w:rsidRDefault="00147ED3" w:rsidP="00147ED3">
      <w:pPr>
        <w:spacing w:line="240" w:lineRule="auto"/>
      </w:pPr>
      <w:r>
        <w:continuationSeparator/>
      </w:r>
    </w:p>
  </w:footnote>
  <w:footnote w:id="1">
    <w:p w:rsidR="00147ED3" w:rsidRDefault="00147E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A4"/>
    <w:rsid w:val="001021DF"/>
    <w:rsid w:val="00147ED3"/>
    <w:rsid w:val="00187B99"/>
    <w:rsid w:val="001A5FA4"/>
    <w:rsid w:val="002014DD"/>
    <w:rsid w:val="002D5E17"/>
    <w:rsid w:val="00340AFE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D01B3"/>
    <w:rsid w:val="009E055C"/>
    <w:rsid w:val="009E640E"/>
    <w:rsid w:val="00A74F6F"/>
    <w:rsid w:val="00AD7557"/>
    <w:rsid w:val="00B50C5D"/>
    <w:rsid w:val="00B51253"/>
    <w:rsid w:val="00B525CC"/>
    <w:rsid w:val="00D404F2"/>
    <w:rsid w:val="00E607E6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D01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47E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7ED3"/>
  </w:style>
  <w:style w:type="character" w:styleId="Rimandonotaapidipagina">
    <w:name w:val="footnote reference"/>
    <w:basedOn w:val="Carpredefinitoparagrafo"/>
    <w:rsid w:val="00147ED3"/>
    <w:rPr>
      <w:vertAlign w:val="superscript"/>
    </w:rPr>
  </w:style>
  <w:style w:type="character" w:styleId="Collegamentoipertestuale">
    <w:name w:val="Hyperlink"/>
    <w:basedOn w:val="Carpredefinitoparagrafo"/>
    <w:rsid w:val="00147E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D01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47E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7ED3"/>
  </w:style>
  <w:style w:type="character" w:styleId="Rimandonotaapidipagina">
    <w:name w:val="footnote reference"/>
    <w:basedOn w:val="Carpredefinitoparagrafo"/>
    <w:rsid w:val="00147ED3"/>
    <w:rPr>
      <w:vertAlign w:val="superscript"/>
    </w:rPr>
  </w:style>
  <w:style w:type="character" w:styleId="Collegamentoipertestuale">
    <w:name w:val="Hyperlink"/>
    <w:basedOn w:val="Carpredefinitoparagrafo"/>
    <w:rsid w:val="00147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urtis-william-j/larchitettura-moderna-dal-1900-9780714898629-17204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enneth-frampton/storia-dellarchitettura-moderna-9788808164629-2080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7726-C441-4CB9-BF06-153112C5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617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2019-06-07T08:31:00Z</dcterms:created>
  <dcterms:modified xsi:type="dcterms:W3CDTF">2020-07-15T07:31:00Z</dcterms:modified>
</cp:coreProperties>
</file>