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C" w:rsidRDefault="00FE3ABC" w:rsidP="00FE3ABC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>
        <w:rPr>
          <w:b/>
          <w:noProof/>
        </w:rPr>
        <w:t>Papirologia</w:t>
      </w:r>
    </w:p>
    <w:p w:rsidR="0056227F" w:rsidRPr="0056227F" w:rsidRDefault="0056227F" w:rsidP="00A33D1E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6227F">
        <w:rPr>
          <w:smallCaps/>
          <w:noProof/>
          <w:sz w:val="18"/>
          <w:szCs w:val="18"/>
        </w:rPr>
        <w:t>Prof. Silvia Barbantani</w:t>
      </w:r>
    </w:p>
    <w:p w:rsidR="000037BB" w:rsidRPr="00AF1C93" w:rsidRDefault="000037BB" w:rsidP="00A33D1E">
      <w:pPr>
        <w:spacing w:before="240"/>
        <w:jc w:val="left"/>
        <w:outlineLvl w:val="1"/>
        <w:rPr>
          <w:i/>
        </w:rPr>
      </w:pPr>
      <w:r w:rsidRPr="00AF1C93">
        <w:rPr>
          <w:smallCaps/>
          <w:noProof/>
          <w:sz w:val="18"/>
        </w:rPr>
        <w:t>I Modulo</w:t>
      </w:r>
    </w:p>
    <w:p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:rsidR="000037BB" w:rsidRDefault="00651A0F" w:rsidP="00AB1896">
      <w:r>
        <w:t>Il corso introdurrà gli studenti alla conoscenza della disciplina papirologica e offrirà lineamenti di storia della stessa</w:t>
      </w:r>
      <w:r w:rsidR="00AB1896">
        <w:t>; offrirà agli studenti gli strumenti per leggere e interpretare un’edizione critica di un papiro</w:t>
      </w:r>
      <w:r w:rsidR="005A43EA">
        <w:t xml:space="preserve"> e rudimenti di paleografia greca (IV </w:t>
      </w:r>
      <w:proofErr w:type="spellStart"/>
      <w:r w:rsidR="005A43EA">
        <w:t>a.C.-VII</w:t>
      </w:r>
      <w:proofErr w:type="spellEnd"/>
      <w:r w:rsidR="005A43EA">
        <w:t xml:space="preserve"> </w:t>
      </w:r>
      <w:proofErr w:type="spellStart"/>
      <w:r w:rsidR="005A43EA">
        <w:t>d.C</w:t>
      </w:r>
      <w:proofErr w:type="spellEnd"/>
      <w:r w:rsidR="005A43EA">
        <w:t>)</w:t>
      </w:r>
      <w:r>
        <w:t xml:space="preserve">. Obiettivo del corso è inoltre </w:t>
      </w:r>
      <w:r w:rsidR="00AB1896">
        <w:t>introdurre al</w:t>
      </w:r>
      <w:r>
        <w:t xml:space="preserve">la conoscenza dell’Egitto tolemaico e romano in tutte le sue variegate componenti storiche, culturali, etnico-linguistiche, </w:t>
      </w:r>
      <w:r w:rsidR="00AB1896">
        <w:t xml:space="preserve">letterarie, </w:t>
      </w:r>
      <w:r>
        <w:t>religiose, attraverso la documentazione papiracea</w:t>
      </w:r>
      <w:r w:rsidR="000037BB" w:rsidRPr="000037BB">
        <w:t xml:space="preserve">. </w:t>
      </w:r>
    </w:p>
    <w:p w:rsidR="000037BB" w:rsidRPr="000037BB" w:rsidRDefault="00AB1896" w:rsidP="005A43EA">
      <w:r>
        <w:t>Gli studenti apprenderanno i metodi e le finalità della disciplina papirologica, sapranno distinguere diverse tipologie di supporti scrittori</w:t>
      </w:r>
      <w:r w:rsidR="002E3A31">
        <w:t>, di grafie</w:t>
      </w:r>
      <w:r>
        <w:t xml:space="preserve"> e di testi (letterari e documentari) trasmessi da papiri, </w:t>
      </w:r>
      <w:proofErr w:type="spellStart"/>
      <w:r>
        <w:t>ostraka</w:t>
      </w:r>
      <w:proofErr w:type="spellEnd"/>
      <w:r>
        <w:t xml:space="preserve"> e altro materiale scrittorio; sapranno interpretare un’edizione critica di un papiro. Approfondiranno inoltre le loro conoscenze nell’ambito della storia dell’Egitto greco-romano e della cultura greca</w:t>
      </w:r>
      <w:r w:rsidR="005A43EA">
        <w:t xml:space="preserve"> antica</w:t>
      </w:r>
      <w:r w:rsidR="000037BB" w:rsidRPr="000037BB">
        <w:t>.</w:t>
      </w:r>
    </w:p>
    <w:p w:rsidR="000037BB" w:rsidRDefault="000037BB" w:rsidP="000037BB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:rsidR="005A43EA" w:rsidRDefault="000037BB" w:rsidP="005A43EA">
      <w:r w:rsidRPr="000037BB">
        <w:t>–</w:t>
      </w:r>
      <w:r w:rsidRPr="000037BB">
        <w:tab/>
      </w:r>
      <w:r w:rsidR="005A43EA">
        <w:t>Introduzione alla disciplina papirologica: storia, finalità, metodi</w:t>
      </w:r>
      <w:r w:rsidRPr="000037BB">
        <w:t>.</w:t>
      </w:r>
    </w:p>
    <w:p w:rsidR="005A43EA" w:rsidRPr="000037BB" w:rsidRDefault="005A43EA" w:rsidP="005A43EA">
      <w:pPr>
        <w:pStyle w:val="Paragrafoelenco"/>
        <w:numPr>
          <w:ilvl w:val="0"/>
          <w:numId w:val="5"/>
        </w:numPr>
        <w:ind w:left="284" w:hanging="284"/>
      </w:pPr>
      <w:r>
        <w:t>Tipologia di libri e documenti nell’Egitto greco-romano; rudimenti di paleografia.</w:t>
      </w:r>
    </w:p>
    <w:p w:rsidR="000037BB" w:rsidRPr="000037BB" w:rsidRDefault="000037BB" w:rsidP="005A43EA">
      <w:r w:rsidRPr="000037BB">
        <w:t>–</w:t>
      </w:r>
      <w:r w:rsidRPr="000037BB">
        <w:tab/>
      </w:r>
      <w:r w:rsidR="005A43EA">
        <w:t>Lettura, t</w:t>
      </w:r>
      <w:r w:rsidRPr="000037BB">
        <w:t xml:space="preserve">raduzione e commento </w:t>
      </w:r>
      <w:r w:rsidR="005A43EA">
        <w:t xml:space="preserve">paleografico e contenutistico </w:t>
      </w:r>
      <w:r w:rsidRPr="000037BB">
        <w:t xml:space="preserve">di papiri </w:t>
      </w:r>
      <w:r w:rsidR="005A43EA">
        <w:t xml:space="preserve">documentari e letterari </w:t>
      </w:r>
      <w:r w:rsidRPr="000037BB">
        <w:t>greci e latini.</w:t>
      </w:r>
    </w:p>
    <w:p w:rsidR="000037BB" w:rsidRPr="0056227F" w:rsidRDefault="000037BB" w:rsidP="0084677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</w:t>
      </w:r>
      <w:r w:rsidR="0084677F">
        <w:rPr>
          <w:b/>
          <w:i/>
          <w:noProof/>
          <w:sz w:val="18"/>
        </w:rPr>
        <w:t>A</w:t>
      </w:r>
      <w:r w:rsidR="00795BE0">
        <w:rPr>
          <w:rStyle w:val="Rimandonotaapidipagina"/>
          <w:b/>
          <w:i/>
          <w:noProof/>
          <w:sz w:val="18"/>
        </w:rPr>
        <w:footnoteReference w:id="1"/>
      </w:r>
    </w:p>
    <w:p w:rsidR="000037BB" w:rsidRPr="0056227F" w:rsidRDefault="000037BB" w:rsidP="00933E37">
      <w:pPr>
        <w:pStyle w:val="Testo1"/>
        <w:spacing w:before="0"/>
      </w:pPr>
      <w:r w:rsidRPr="0056227F">
        <w:t>Test</w:t>
      </w:r>
      <w:r w:rsidR="00933E37">
        <w:t>i</w:t>
      </w:r>
      <w:r w:rsidRPr="0056227F">
        <w:t xml:space="preserve"> adottat</w:t>
      </w:r>
      <w:r w:rsidR="00933E37">
        <w:t>i</w:t>
      </w:r>
      <w:r w:rsidR="00CD2A77">
        <w:t xml:space="preserve">: </w:t>
      </w:r>
    </w:p>
    <w:p w:rsidR="000037BB" w:rsidRDefault="000037BB" w:rsidP="0056227F">
      <w:pPr>
        <w:pStyle w:val="Testo1"/>
        <w:spacing w:before="0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676CE7">
        <w:rPr>
          <w:smallCaps/>
        </w:rPr>
        <w:t>O. Montevecchi</w:t>
      </w:r>
      <w:r w:rsidRPr="0056227F">
        <w:t>, La Papirologia, Vita e Pensiero, Milano, 1988.</w:t>
      </w:r>
      <w:r w:rsidR="006A5F41">
        <w:t xml:space="preserve"> </w:t>
      </w:r>
      <w:hyperlink r:id="rId9" w:history="1">
        <w:r w:rsidR="006A5F41" w:rsidRPr="006A5F4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D2A77" w:rsidRPr="00241FB0" w:rsidRDefault="00676CE7" w:rsidP="00F234DE">
      <w:pPr>
        <w:pStyle w:val="Testo1"/>
        <w:spacing w:before="0"/>
        <w:rPr>
          <w:lang w:val="en-US"/>
        </w:rPr>
      </w:pPr>
      <w:r>
        <w:rPr>
          <w:smallCaps/>
          <w:sz w:val="16"/>
        </w:rPr>
        <w:t>A.K. Bowman</w:t>
      </w:r>
      <w:r w:rsidR="00CD2A77" w:rsidRPr="0056227F">
        <w:t xml:space="preserve">, </w:t>
      </w:r>
      <w:r w:rsidR="00CD2A77" w:rsidRPr="00077E24">
        <w:rPr>
          <w:i/>
          <w:iCs/>
        </w:rPr>
        <w:t>L'Egitto dopo i Faraoni</w:t>
      </w:r>
      <w:r w:rsidR="00CD2A77" w:rsidRPr="0056227F">
        <w:t>, t</w:t>
      </w:r>
      <w:r w:rsidR="00CD2A77">
        <w:t xml:space="preserve">rad. it. </w:t>
      </w:r>
      <w:r w:rsidR="00CD2A77" w:rsidRPr="00241FB0">
        <w:rPr>
          <w:lang w:val="en-US"/>
        </w:rPr>
        <w:t>Giunti, Firenze, 1997</w:t>
      </w:r>
      <w:r w:rsidRPr="00241FB0">
        <w:rPr>
          <w:lang w:val="en-US"/>
        </w:rPr>
        <w:t xml:space="preserve"> (</w:t>
      </w:r>
      <w:r w:rsidRPr="00241FB0">
        <w:rPr>
          <w:smallCaps/>
          <w:sz w:val="16"/>
          <w:lang w:val="en-US"/>
        </w:rPr>
        <w:t>A.K. Bowman,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Enfasicorsivo"/>
          <w:lang w:val="en-US"/>
        </w:rPr>
        <w:t>Egypt After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st"/>
          <w:i/>
          <w:iCs/>
          <w:lang w:val="en-US"/>
        </w:rPr>
        <w:t>the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Enfasicorsivo"/>
          <w:lang w:val="en-US"/>
        </w:rPr>
        <w:t>Pharaohs 332 BC</w:t>
      </w:r>
      <w:r w:rsidRPr="00241FB0">
        <w:rPr>
          <w:rStyle w:val="st"/>
          <w:lang w:val="en-US"/>
        </w:rPr>
        <w:t>-</w:t>
      </w:r>
      <w:r w:rsidRPr="00241FB0">
        <w:rPr>
          <w:rStyle w:val="Enfasicorsivo"/>
          <w:lang w:val="en-US"/>
        </w:rPr>
        <w:t>AD 642.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st"/>
          <w:i/>
          <w:iCs/>
          <w:lang w:val="en-US"/>
        </w:rPr>
        <w:t xml:space="preserve">From </w:t>
      </w:r>
      <w:r w:rsidRPr="00241FB0">
        <w:rPr>
          <w:rStyle w:val="Enfasicorsivo"/>
          <w:lang w:val="en-US"/>
        </w:rPr>
        <w:t>Alexander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st"/>
          <w:i/>
          <w:iCs/>
          <w:lang w:val="en-US"/>
        </w:rPr>
        <w:t>to the</w:t>
      </w:r>
      <w:r w:rsidRPr="00241FB0">
        <w:rPr>
          <w:rStyle w:val="st"/>
          <w:lang w:val="en-US"/>
        </w:rPr>
        <w:t xml:space="preserve"> </w:t>
      </w:r>
      <w:r w:rsidRPr="00241FB0">
        <w:rPr>
          <w:rStyle w:val="Enfasicorsivo"/>
          <w:lang w:val="en-US"/>
        </w:rPr>
        <w:t>Arab Conquest</w:t>
      </w:r>
      <w:r w:rsidRPr="00241FB0">
        <w:rPr>
          <w:rStyle w:val="st"/>
          <w:lang w:val="en-US"/>
        </w:rPr>
        <w:t xml:space="preserve">, </w:t>
      </w:r>
      <w:r w:rsidRPr="00241FB0">
        <w:rPr>
          <w:rStyle w:val="Enfasicorsivo"/>
          <w:i w:val="0"/>
          <w:iCs w:val="0"/>
          <w:lang w:val="en-US"/>
        </w:rPr>
        <w:t>Revised Edition</w:t>
      </w:r>
      <w:r w:rsidRPr="00241FB0">
        <w:rPr>
          <w:rStyle w:val="st"/>
          <w:lang w:val="en-US"/>
        </w:rPr>
        <w:t xml:space="preserve"> 1996</w:t>
      </w:r>
      <w:r w:rsidR="005B5974" w:rsidRPr="00241FB0">
        <w:rPr>
          <w:rStyle w:val="st"/>
          <w:lang w:val="en-US"/>
        </w:rPr>
        <w:t>)</w:t>
      </w:r>
      <w:r w:rsidR="00F234DE" w:rsidRPr="00241FB0">
        <w:rPr>
          <w:lang w:val="en-US"/>
        </w:rPr>
        <w:t>.</w:t>
      </w:r>
    </w:p>
    <w:p w:rsidR="000037BB" w:rsidRPr="00241FB0" w:rsidRDefault="000037BB" w:rsidP="00856360">
      <w:pPr>
        <w:pStyle w:val="Testo1"/>
        <w:rPr>
          <w:lang w:val="en-US"/>
        </w:rPr>
      </w:pPr>
      <w:r w:rsidRPr="00241FB0">
        <w:rPr>
          <w:lang w:val="en-US"/>
        </w:rPr>
        <w:t>Testi consigliati</w:t>
      </w:r>
      <w:r w:rsidR="00CD2A77" w:rsidRPr="00241FB0">
        <w:rPr>
          <w:lang w:val="en-US"/>
        </w:rPr>
        <w:t>:</w:t>
      </w:r>
    </w:p>
    <w:p w:rsidR="00CD2A77" w:rsidRPr="00241FB0" w:rsidRDefault="00077E24" w:rsidP="00F234DE">
      <w:pPr>
        <w:pStyle w:val="Testo1"/>
        <w:spacing w:before="0" w:line="240" w:lineRule="auto"/>
        <w:ind w:left="0" w:firstLine="0"/>
        <w:rPr>
          <w:lang w:val="en-US"/>
        </w:rPr>
      </w:pPr>
      <w:r w:rsidRPr="00241FB0">
        <w:rPr>
          <w:smallCaps/>
          <w:lang w:val="en-US"/>
        </w:rPr>
        <w:lastRenderedPageBreak/>
        <w:t>R.S. Bagnall</w:t>
      </w:r>
      <w:r w:rsidRPr="00241FB0">
        <w:rPr>
          <w:lang w:val="en-US"/>
        </w:rPr>
        <w:t xml:space="preserve"> (ed.), </w:t>
      </w:r>
      <w:r w:rsidRPr="00241FB0">
        <w:rPr>
          <w:i/>
          <w:iCs/>
          <w:lang w:val="en-US"/>
        </w:rPr>
        <w:t>The Oxford Handbook of Papyrology</w:t>
      </w:r>
      <w:r w:rsidRPr="00241FB0">
        <w:rPr>
          <w:lang w:val="en-US"/>
        </w:rPr>
        <w:t xml:space="preserve">, Oxford, 2009; </w:t>
      </w:r>
    </w:p>
    <w:p w:rsidR="00CD2A77" w:rsidRPr="00241FB0" w:rsidRDefault="00676CE7" w:rsidP="00F234DE">
      <w:pPr>
        <w:pStyle w:val="Testo1"/>
        <w:spacing w:before="0" w:line="240" w:lineRule="auto"/>
        <w:ind w:left="0" w:firstLine="0"/>
        <w:rPr>
          <w:rStyle w:val="st"/>
          <w:lang w:val="en-US"/>
        </w:rPr>
      </w:pPr>
      <w:r w:rsidRPr="00241FB0">
        <w:rPr>
          <w:smallCaps/>
          <w:lang w:val="en-US"/>
        </w:rPr>
        <w:t>R.S. Bagnall</w:t>
      </w:r>
      <w:r w:rsidR="00077E24" w:rsidRPr="00241FB0">
        <w:rPr>
          <w:rStyle w:val="st"/>
          <w:lang w:val="en-US"/>
        </w:rPr>
        <w:t xml:space="preserve">, </w:t>
      </w:r>
      <w:r w:rsidR="00077E24" w:rsidRPr="00241FB0">
        <w:rPr>
          <w:rStyle w:val="Enfasicorsivo"/>
          <w:lang w:val="en-US"/>
        </w:rPr>
        <w:t>Reading Papyri</w:t>
      </w:r>
      <w:r w:rsidR="00077E24" w:rsidRPr="00241FB0">
        <w:rPr>
          <w:rStyle w:val="st"/>
          <w:lang w:val="en-US"/>
        </w:rPr>
        <w:t xml:space="preserve">, </w:t>
      </w:r>
      <w:r w:rsidR="00077E24" w:rsidRPr="00241FB0">
        <w:rPr>
          <w:rStyle w:val="Enfasicorsivo"/>
          <w:lang w:val="en-US"/>
        </w:rPr>
        <w:t>Writing Ancient History</w:t>
      </w:r>
      <w:r w:rsidR="00077E24" w:rsidRPr="00241FB0">
        <w:rPr>
          <w:rStyle w:val="st"/>
          <w:lang w:val="en-US"/>
        </w:rPr>
        <w:t xml:space="preserve">, London-New York, 1995; </w:t>
      </w:r>
    </w:p>
    <w:p w:rsidR="00F234DE" w:rsidRPr="00241FB0" w:rsidRDefault="00F234DE" w:rsidP="00F234DE">
      <w:pPr>
        <w:pStyle w:val="Testo1"/>
        <w:spacing w:before="0" w:line="240" w:lineRule="auto"/>
        <w:rPr>
          <w:lang w:val="en-US"/>
        </w:rPr>
      </w:pPr>
      <w:r w:rsidRPr="00241FB0">
        <w:rPr>
          <w:rStyle w:val="st"/>
          <w:smallCaps/>
          <w:lang w:val="en-US"/>
        </w:rPr>
        <w:t xml:space="preserve">P.W. </w:t>
      </w:r>
      <w:r w:rsidRPr="00241FB0">
        <w:rPr>
          <w:rStyle w:val="Enfasicorsivo"/>
          <w:i w:val="0"/>
          <w:iCs w:val="0"/>
          <w:smallCaps/>
          <w:lang w:val="en-US"/>
        </w:rPr>
        <w:t>Pestman</w:t>
      </w:r>
      <w:r w:rsidRPr="00241FB0">
        <w:rPr>
          <w:rStyle w:val="Enfasicorsivo"/>
          <w:i w:val="0"/>
          <w:iCs w:val="0"/>
          <w:lang w:val="en-US"/>
        </w:rPr>
        <w:t xml:space="preserve">, </w:t>
      </w:r>
      <w:r w:rsidRPr="00241FB0">
        <w:rPr>
          <w:rStyle w:val="Enfasicorsivo"/>
          <w:lang w:val="en-US"/>
        </w:rPr>
        <w:t>The New Papyrological Primer</w:t>
      </w:r>
      <w:r w:rsidRPr="00241FB0">
        <w:rPr>
          <w:rStyle w:val="st"/>
          <w:lang w:val="en-US"/>
        </w:rPr>
        <w:t xml:space="preserve">, Revised Edition, Leiden, </w:t>
      </w:r>
      <w:r w:rsidRPr="00241FB0">
        <w:rPr>
          <w:rStyle w:val="Enfasicorsivo"/>
          <w:i w:val="0"/>
          <w:iCs w:val="0"/>
          <w:lang w:val="en-US"/>
        </w:rPr>
        <w:t>1994</w:t>
      </w:r>
    </w:p>
    <w:p w:rsidR="000037BB" w:rsidRPr="0056227F" w:rsidRDefault="00FF2CCA" w:rsidP="00F234DE">
      <w:pPr>
        <w:pStyle w:val="Testo1"/>
        <w:spacing w:before="0" w:line="240" w:lineRule="auto"/>
        <w:ind w:left="0" w:firstLine="0"/>
      </w:pPr>
      <w:r w:rsidRPr="00676CE7">
        <w:rPr>
          <w:smallCaps/>
        </w:rPr>
        <w:t>E.G. Turner</w:t>
      </w:r>
      <w:r w:rsidRPr="00BB06E4">
        <w:t xml:space="preserve">, </w:t>
      </w:r>
      <w:r w:rsidRPr="00077E24">
        <w:rPr>
          <w:rStyle w:val="Enfasicorsivo"/>
        </w:rPr>
        <w:t>Papiri greci</w:t>
      </w:r>
      <w:r w:rsidRPr="00BB06E4">
        <w:t>, Roma 1984</w:t>
      </w:r>
      <w:r w:rsidRPr="00BB06E4">
        <w:rPr>
          <w:rStyle w:val="Enfasicorsivo"/>
          <w:i w:val="0"/>
          <w:iCs w:val="0"/>
        </w:rPr>
        <w:t>.</w:t>
      </w:r>
    </w:p>
    <w:p w:rsidR="00A5776A" w:rsidRPr="0056227F" w:rsidRDefault="00A5776A" w:rsidP="0056227F">
      <w:pPr>
        <w:pStyle w:val="Testo1"/>
        <w:spacing w:before="0"/>
      </w:pPr>
    </w:p>
    <w:p w:rsidR="000037BB" w:rsidRPr="0056227F" w:rsidRDefault="00404DB3" w:rsidP="00FF2CCA">
      <w:pPr>
        <w:pStyle w:val="Testo1"/>
      </w:pPr>
      <w:r>
        <w:t>Ulteriori materiali</w:t>
      </w:r>
      <w:r w:rsidR="000037BB" w:rsidRPr="0056227F">
        <w:t xml:space="preserve"> </w:t>
      </w:r>
      <w:r w:rsidR="00FF2CCA">
        <w:t xml:space="preserve">e i testi relativi al corso </w:t>
      </w:r>
      <w:r w:rsidR="000037BB" w:rsidRPr="0056227F">
        <w:t>verr</w:t>
      </w:r>
      <w:r w:rsidR="00FF2CCA">
        <w:t>anno</w:t>
      </w:r>
      <w:r w:rsidR="000037BB" w:rsidRPr="0056227F">
        <w:t xml:space="preserve"> fornit</w:t>
      </w:r>
      <w:r w:rsidR="00FF2CCA">
        <w:t>i</w:t>
      </w:r>
      <w:r w:rsidR="000037BB" w:rsidRPr="0056227F">
        <w:t xml:space="preserve"> </w:t>
      </w:r>
      <w:r w:rsidR="00FF2CCA" w:rsidRPr="0056227F">
        <w:t>durante le lezioni</w:t>
      </w:r>
      <w:r w:rsidR="000037BB" w:rsidRPr="0056227F">
        <w:t>.</w:t>
      </w:r>
    </w:p>
    <w:p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0037BB" w:rsidRPr="000037BB" w:rsidRDefault="000037BB" w:rsidP="000037BB">
      <w:pPr>
        <w:pStyle w:val="Testo2"/>
      </w:pPr>
      <w:r w:rsidRPr="000037BB">
        <w:t>Lezioni in aula.</w:t>
      </w:r>
    </w:p>
    <w:p w:rsidR="000037BB" w:rsidRDefault="000037BB" w:rsidP="000037BB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:rsidR="000037BB" w:rsidRPr="00D33AB7" w:rsidRDefault="00404DB3" w:rsidP="00404DB3">
      <w:pPr>
        <w:pStyle w:val="Testo2"/>
      </w:pPr>
      <w:r>
        <w:t>E</w:t>
      </w:r>
      <w:r w:rsidR="000037BB" w:rsidRPr="00D33AB7">
        <w:t>same orale</w:t>
      </w:r>
      <w:r>
        <w:t xml:space="preserve"> sui contenuti del corso. </w:t>
      </w:r>
      <w:r w:rsidRPr="00FE3ABC">
        <w:t>Lettura, traduzione e commento (paleografico, linguistico, storico-</w:t>
      </w:r>
      <w:r>
        <w:t>culturale) dei testi analizzati a lezione</w:t>
      </w:r>
      <w:r w:rsidR="000037BB" w:rsidRPr="00D33AB7">
        <w:t>.</w:t>
      </w:r>
    </w:p>
    <w:p w:rsidR="00404DB3" w:rsidRPr="00FE3ABC" w:rsidRDefault="00404DB3" w:rsidP="00404DB3">
      <w:pPr>
        <w:pStyle w:val="Testo2"/>
      </w:pPr>
      <w:r w:rsidRPr="00FE3ABC">
        <w:t xml:space="preserve">Nel formulare i giudizi si terrà conto della pertinenza nelle risposte, del livello di approfondimento dell’argomento, della capacità di analisi e di sintesi, della chiarezza e della coerenza espositiva, della proprietà espressiva e della capacità di utilizzare </w:t>
      </w:r>
      <w:r>
        <w:t>in modo appropriato la terminologia specifica</w:t>
      </w:r>
      <w:r w:rsidRPr="00FE3ABC">
        <w:t xml:space="preserve"> della materia.</w:t>
      </w:r>
    </w:p>
    <w:p w:rsidR="000037BB" w:rsidRDefault="000037BB" w:rsidP="000037B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037BB" w:rsidRPr="00D33AB7" w:rsidRDefault="00A33D1E" w:rsidP="00676CE7">
      <w:pPr>
        <w:pStyle w:val="Testo2"/>
      </w:pPr>
      <w:r>
        <w:t>Prerequisit</w:t>
      </w:r>
      <w:r w:rsidR="00FF2CCA">
        <w:t>i sono</w:t>
      </w:r>
      <w:r>
        <w:t xml:space="preserve"> </w:t>
      </w:r>
      <w:r w:rsidR="00EE44B6">
        <w:t>una buona</w:t>
      </w:r>
      <w:r w:rsidR="000037BB" w:rsidRPr="00D33AB7">
        <w:t xml:space="preserve"> conoscenza del greco antico</w:t>
      </w:r>
      <w:r w:rsidR="00676CE7">
        <w:t>,</w:t>
      </w:r>
      <w:r w:rsidR="00EA1CDE">
        <w:t xml:space="preserve"> del latino </w:t>
      </w:r>
      <w:r w:rsidR="00FF2CCA">
        <w:t xml:space="preserve">e della </w:t>
      </w:r>
      <w:r w:rsidR="00676CE7">
        <w:t>s</w:t>
      </w:r>
      <w:r w:rsidR="005A7355">
        <w:t>t</w:t>
      </w:r>
      <w:r w:rsidR="00FF2CCA">
        <w:t>oria antica</w:t>
      </w:r>
      <w:r w:rsidR="000037BB" w:rsidRPr="00D33AB7">
        <w:t>.</w:t>
      </w:r>
    </w:p>
    <w:p w:rsidR="000037BB" w:rsidRDefault="000037BB" w:rsidP="00EE44B6">
      <w:pPr>
        <w:pStyle w:val="Testo2"/>
      </w:pPr>
      <w:r w:rsidRPr="0036116B">
        <w:t xml:space="preserve">Gli studenti che sostengono per la prima volta l'esame di Papirologia sono tenuti a preparare il programma del I modulo; il II modulo è riservato a chi abbia già conseguito 6 </w:t>
      </w:r>
      <w:r w:rsidR="00EE44B6">
        <w:t>CFU</w:t>
      </w:r>
      <w:r w:rsidRPr="0036116B">
        <w:t xml:space="preserve"> in Papirologia.</w:t>
      </w:r>
    </w:p>
    <w:p w:rsidR="00510357" w:rsidRPr="00790811" w:rsidRDefault="00510357" w:rsidP="00510357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0037BB" w:rsidRPr="000037BB" w:rsidRDefault="000037BB" w:rsidP="00A33D1E">
      <w:pPr>
        <w:tabs>
          <w:tab w:val="clear" w:pos="284"/>
        </w:tabs>
        <w:spacing w:before="360"/>
        <w:jc w:val="left"/>
        <w:outlineLvl w:val="1"/>
        <w:rPr>
          <w:i/>
          <w:noProof/>
          <w:sz w:val="18"/>
          <w:szCs w:val="18"/>
        </w:rPr>
      </w:pPr>
      <w:r w:rsidRPr="00F309ED">
        <w:rPr>
          <w:smallCaps/>
          <w:noProof/>
          <w:sz w:val="18"/>
          <w:szCs w:val="18"/>
        </w:rPr>
        <w:t>II Modulo</w:t>
      </w:r>
    </w:p>
    <w:p w:rsidR="002D5E17" w:rsidRDefault="00FE3ABC" w:rsidP="00FE3AB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FE3ABC" w:rsidRPr="00F309ED" w:rsidRDefault="00FE3ABC" w:rsidP="00FE3ABC">
      <w:r w:rsidRPr="00F309ED">
        <w:t xml:space="preserve">Approfondimento di temi specifici relativi alla storia dell’Egitto greco e romano attraverso la lettura diretta di testi trasmessi da papiri, </w:t>
      </w:r>
      <w:proofErr w:type="spellStart"/>
      <w:r w:rsidRPr="00A5776A">
        <w:rPr>
          <w:i/>
          <w:iCs/>
        </w:rPr>
        <w:t>ostraka</w:t>
      </w:r>
      <w:proofErr w:type="spellEnd"/>
      <w:r w:rsidRPr="00F309ED">
        <w:t>, e da qualunque altro supporto scrittorio oggetto di studio della disciplina papirologica.</w:t>
      </w:r>
    </w:p>
    <w:p w:rsidR="00FE3ABC" w:rsidRPr="00F309ED" w:rsidRDefault="00FE3ABC" w:rsidP="00EE44B6">
      <w:r w:rsidRPr="00F309ED">
        <w:t xml:space="preserve">Al termine del corso lo studente avrà </w:t>
      </w:r>
      <w:r w:rsidR="00EE44B6">
        <w:t>approfondito</w:t>
      </w:r>
      <w:r w:rsidRPr="00F309ED">
        <w:t xml:space="preserve"> la conoscenza e la capacità di interpretazione dei testimoni pa</w:t>
      </w:r>
      <w:r w:rsidR="00950F74">
        <w:t>piracei dei testi letterari e d</w:t>
      </w:r>
      <w:r w:rsidR="00A5776A">
        <w:t xml:space="preserve">i varie </w:t>
      </w:r>
      <w:r w:rsidRPr="00F309ED">
        <w:t xml:space="preserve">tipologie di documento trasmesso su papiro; sarà in grado di leggere e interpretare un’edizione critica di un testo documentario e letterario; avrà </w:t>
      </w:r>
      <w:r w:rsidR="00EE44B6">
        <w:t>approfondito</w:t>
      </w:r>
      <w:r w:rsidRPr="00F309ED">
        <w:t xml:space="preserve"> le </w:t>
      </w:r>
      <w:r w:rsidRPr="001B58DD">
        <w:rPr>
          <w:lang w:bidi="he-IL"/>
        </w:rPr>
        <w:t xml:space="preserve">conoscenze </w:t>
      </w:r>
      <w:r w:rsidRPr="001B58DD">
        <w:rPr>
          <w:lang w:bidi="he-IL"/>
        </w:rPr>
        <w:lastRenderedPageBreak/>
        <w:t xml:space="preserve">storico-culturali </w:t>
      </w:r>
      <w:r w:rsidRPr="00F309ED">
        <w:rPr>
          <w:lang w:bidi="he-IL"/>
        </w:rPr>
        <w:t xml:space="preserve">e filologiche </w:t>
      </w:r>
      <w:r w:rsidRPr="001B58DD">
        <w:rPr>
          <w:lang w:bidi="he-IL"/>
        </w:rPr>
        <w:t xml:space="preserve">necessarie </w:t>
      </w:r>
      <w:r w:rsidRPr="00F309ED">
        <w:rPr>
          <w:lang w:bidi="he-IL"/>
        </w:rPr>
        <w:t>all’interpretazione</w:t>
      </w:r>
      <w:r w:rsidRPr="001B58DD">
        <w:rPr>
          <w:lang w:bidi="he-IL"/>
        </w:rPr>
        <w:t xml:space="preserve"> storica e critico-filologica dei </w:t>
      </w:r>
      <w:r w:rsidRPr="00F309ED">
        <w:rPr>
          <w:lang w:bidi="he-IL"/>
        </w:rPr>
        <w:t>testi oggetto del corso</w:t>
      </w:r>
      <w:r w:rsidRPr="001B58DD">
        <w:rPr>
          <w:lang w:bidi="he-IL"/>
        </w:rPr>
        <w:t xml:space="preserve">. </w:t>
      </w:r>
      <w:r w:rsidRPr="00F309ED">
        <w:rPr>
          <w:lang w:bidi="he-IL"/>
        </w:rPr>
        <w:t>Lo studente sarà in grado di utilizzare autonomamente i metodi e gli strumenti specifici della disciplina.</w:t>
      </w:r>
    </w:p>
    <w:p w:rsidR="00FE3ABC" w:rsidRDefault="00FE3ABC" w:rsidP="00FE3AB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E3ABC" w:rsidRPr="00F309ED" w:rsidRDefault="00A5776A" w:rsidP="00A5776A">
      <w:r>
        <w:t>1)</w:t>
      </w:r>
      <w:r>
        <w:tab/>
        <w:t>Archivi e biblioteche</w:t>
      </w:r>
      <w:r w:rsidR="00FE3ABC" w:rsidRPr="00F309ED">
        <w:t>.</w:t>
      </w:r>
    </w:p>
    <w:p w:rsidR="00FE3ABC" w:rsidRPr="00F309ED" w:rsidRDefault="00A5776A" w:rsidP="00A33D1E">
      <w:r>
        <w:t>2)</w:t>
      </w:r>
      <w:r w:rsidR="00BB06E4">
        <w:tab/>
      </w:r>
      <w:r w:rsidR="00A33D1E">
        <w:t xml:space="preserve">L’archivio di </w:t>
      </w:r>
      <w:proofErr w:type="spellStart"/>
      <w:r w:rsidR="00A33D1E">
        <w:t>Dryton</w:t>
      </w:r>
      <w:proofErr w:type="spellEnd"/>
      <w:r>
        <w:t xml:space="preserve"> e altri esempi di archivi bilingui</w:t>
      </w:r>
      <w:r w:rsidR="00FE3ABC" w:rsidRPr="00F309ED">
        <w:t>.</w:t>
      </w:r>
      <w:r w:rsidR="00A33D1E">
        <w:t xml:space="preserve"> </w:t>
      </w:r>
    </w:p>
    <w:p w:rsidR="00FE3ABC" w:rsidRPr="0056227F" w:rsidRDefault="00A5776A" w:rsidP="00FE3ABC">
      <w:r>
        <w:t>3)</w:t>
      </w:r>
      <w:r w:rsidR="00FE3ABC" w:rsidRPr="0056227F">
        <w:tab/>
        <w:t>Lettura di testi originali.</w:t>
      </w:r>
    </w:p>
    <w:p w:rsidR="00FE3ABC" w:rsidRPr="00BB06E4" w:rsidRDefault="00FE3ABC" w:rsidP="00A5776A">
      <w:pPr>
        <w:spacing w:before="240" w:after="120"/>
        <w:rPr>
          <w:b/>
          <w:i/>
          <w:sz w:val="18"/>
        </w:rPr>
      </w:pPr>
      <w:r w:rsidRPr="00BB06E4">
        <w:rPr>
          <w:b/>
          <w:i/>
          <w:sz w:val="18"/>
        </w:rPr>
        <w:t>BIBLIOGRAFIA</w:t>
      </w:r>
    </w:p>
    <w:p w:rsidR="000E6C3C" w:rsidRDefault="00A5776A" w:rsidP="008D07E1">
      <w:pPr>
        <w:pStyle w:val="Testo1"/>
        <w:spacing w:before="0"/>
        <w:rPr>
          <w:lang w:val="en-US"/>
        </w:rPr>
      </w:pPr>
      <w:r>
        <w:t xml:space="preserve">1) </w:t>
      </w:r>
      <w:r w:rsidR="00FE3ABC" w:rsidRPr="00BB06E4">
        <w:t xml:space="preserve">W. Clarysse, </w:t>
      </w:r>
      <w:r w:rsidR="00FE3ABC" w:rsidRPr="00A33D1E">
        <w:rPr>
          <w:i/>
          <w:iCs/>
        </w:rPr>
        <w:t>Bilingual Papyrological Archives</w:t>
      </w:r>
      <w:r w:rsidR="00FE3ABC" w:rsidRPr="00BB06E4">
        <w:t>,</w:t>
      </w:r>
      <w:r w:rsidR="00BB06E4" w:rsidRPr="00BB06E4">
        <w:t xml:space="preserve"> in W. Clarysse-</w:t>
      </w:r>
      <w:r w:rsidR="00FE3ABC" w:rsidRPr="00BB06E4">
        <w:t xml:space="preserve">A. </w:t>
      </w:r>
      <w:r w:rsidR="00FE3ABC" w:rsidRPr="0056227F">
        <w:rPr>
          <w:lang w:val="en-US"/>
        </w:rPr>
        <w:t xml:space="preserve">Papacostantinou, </w:t>
      </w:r>
      <w:r w:rsidR="00FE3ABC" w:rsidRPr="00A33D1E">
        <w:rPr>
          <w:i/>
          <w:iCs/>
          <w:lang w:val="en-US"/>
        </w:rPr>
        <w:t>The multilingual experience in Egypt, from the Ptolemies to the Abassids</w:t>
      </w:r>
      <w:r>
        <w:rPr>
          <w:lang w:val="en-US"/>
        </w:rPr>
        <w:t xml:space="preserve">, Aldershot 2010, pp. 47-72; </w:t>
      </w:r>
      <w:r w:rsidR="00BB06E4" w:rsidRPr="0056227F">
        <w:rPr>
          <w:lang w:val="en-US"/>
        </w:rPr>
        <w:t>J.</w:t>
      </w:r>
      <w:r w:rsidR="00FE3ABC" w:rsidRPr="0056227F">
        <w:rPr>
          <w:lang w:val="en-US"/>
        </w:rPr>
        <w:t>L.</w:t>
      </w:r>
      <w:r w:rsidR="00BB06E4" w:rsidRPr="0056227F">
        <w:rPr>
          <w:lang w:val="en-US"/>
        </w:rPr>
        <w:t xml:space="preserve"> </w:t>
      </w:r>
      <w:r w:rsidR="00FE3ABC" w:rsidRPr="0056227F">
        <w:rPr>
          <w:lang w:val="en-US"/>
        </w:rPr>
        <w:t xml:space="preserve">Fournet, </w:t>
      </w:r>
      <w:r w:rsidR="00FE3ABC" w:rsidRPr="00A33D1E">
        <w:rPr>
          <w:i/>
          <w:iCs/>
          <w:lang w:val="en-US"/>
        </w:rPr>
        <w:t>Archives and Libraries in Greco-Roman Egypt</w:t>
      </w:r>
      <w:r w:rsidR="00FE3ABC" w:rsidRPr="0056227F">
        <w:rPr>
          <w:lang w:val="en-US"/>
        </w:rPr>
        <w:t>, in S. Kieni</w:t>
      </w:r>
      <w:r w:rsidR="000E6C3C">
        <w:rPr>
          <w:lang w:val="en-US"/>
        </w:rPr>
        <w:t>tz-M. Friedrich-C.</w:t>
      </w:r>
      <w:r w:rsidR="00BB06E4" w:rsidRPr="0056227F">
        <w:rPr>
          <w:lang w:val="en-US"/>
        </w:rPr>
        <w:t>Brockmann-</w:t>
      </w:r>
      <w:r w:rsidR="00FE3ABC" w:rsidRPr="0056227F">
        <w:rPr>
          <w:lang w:val="en-US"/>
        </w:rPr>
        <w:t xml:space="preserve">A. Bausi (eds.), </w:t>
      </w:r>
      <w:r w:rsidR="00FE3ABC" w:rsidRPr="00A33D1E">
        <w:rPr>
          <w:i/>
          <w:iCs/>
          <w:lang w:val="en-US"/>
        </w:rPr>
        <w:t>Manuscripts and Archives: Comparative Views on Record-Keeping</w:t>
      </w:r>
      <w:r w:rsidR="00FE3ABC" w:rsidRPr="0056227F">
        <w:rPr>
          <w:lang w:val="en-US"/>
        </w:rPr>
        <w:t>, Berlin 2018, pp. 171-200</w:t>
      </w:r>
      <w:r>
        <w:rPr>
          <w:lang w:val="en-US"/>
        </w:rPr>
        <w:t xml:space="preserve">; </w:t>
      </w:r>
      <w:r w:rsidR="000E6C3C" w:rsidRPr="00950F74">
        <w:rPr>
          <w:rFonts w:ascii="Times New Roman" w:hAnsi="Times New Roman"/>
          <w:szCs w:val="18"/>
          <w:lang w:val="en-US"/>
        </w:rPr>
        <w:t xml:space="preserve">A. Martin, </w:t>
      </w:r>
      <w:r w:rsidRPr="00950F74">
        <w:rPr>
          <w:rFonts w:ascii="Times New Roman" w:hAnsi="Times New Roman"/>
          <w:i/>
          <w:iCs/>
          <w:szCs w:val="18"/>
          <w:lang w:val="en-US"/>
        </w:rPr>
        <w:t>Archives privées et cachettes documentaires</w:t>
      </w:r>
      <w:r w:rsidRPr="00950F74">
        <w:rPr>
          <w:rFonts w:ascii="Times New Roman" w:hAnsi="Times New Roman"/>
          <w:szCs w:val="18"/>
          <w:lang w:val="en-US"/>
        </w:rPr>
        <w:t xml:space="preserve">, in A. Bulow-Jacobsen (ed.), </w:t>
      </w:r>
      <w:r w:rsidRPr="00950F74">
        <w:rPr>
          <w:rFonts w:ascii="Times New Roman" w:hAnsi="Times New Roman"/>
          <w:i/>
          <w:iCs/>
          <w:szCs w:val="18"/>
          <w:lang w:val="en-US"/>
        </w:rPr>
        <w:t xml:space="preserve">Proceedings of the 20th International Congress of Papyrologists. </w:t>
      </w:r>
      <w:r w:rsidRPr="00241FB0">
        <w:rPr>
          <w:rFonts w:ascii="Times New Roman" w:hAnsi="Times New Roman"/>
          <w:i/>
          <w:iCs/>
          <w:szCs w:val="18"/>
          <w:lang w:val="en-US"/>
        </w:rPr>
        <w:t>Copenhagen, 23-29 August 1992</w:t>
      </w:r>
      <w:r w:rsidRPr="00241FB0">
        <w:rPr>
          <w:rFonts w:ascii="Times New Roman" w:hAnsi="Times New Roman"/>
          <w:szCs w:val="18"/>
          <w:lang w:val="en-US"/>
        </w:rPr>
        <w:t xml:space="preserve">, Copenhagen 1994, pp.569-577; </w:t>
      </w:r>
      <w:r w:rsidRPr="0056227F">
        <w:rPr>
          <w:lang w:val="en-US"/>
        </w:rPr>
        <w:t xml:space="preserve">K. Vandorpe, </w:t>
      </w:r>
      <w:r w:rsidRPr="00A33D1E">
        <w:rPr>
          <w:i/>
          <w:iCs/>
          <w:lang w:val="en-US"/>
        </w:rPr>
        <w:t>Archives and Dossiers</w:t>
      </w:r>
      <w:r w:rsidRPr="0056227F">
        <w:rPr>
          <w:lang w:val="en-US"/>
        </w:rPr>
        <w:t xml:space="preserve">, in R.S. Bagnall (ed.), </w:t>
      </w:r>
      <w:r w:rsidRPr="000E6C3C">
        <w:rPr>
          <w:i/>
          <w:iCs/>
          <w:lang w:val="en-US"/>
        </w:rPr>
        <w:t>Oxford Handbook of Papyrology</w:t>
      </w:r>
      <w:r w:rsidRPr="0056227F">
        <w:rPr>
          <w:lang w:val="en-US"/>
        </w:rPr>
        <w:t>, Oxford 2009, pp. 216-255.</w:t>
      </w:r>
    </w:p>
    <w:p w:rsidR="00A5776A" w:rsidRPr="00241FB0" w:rsidRDefault="00A5776A" w:rsidP="000E6C3C">
      <w:pPr>
        <w:pStyle w:val="Testo1"/>
        <w:spacing w:before="0"/>
      </w:pPr>
      <w:r w:rsidRPr="00A5776A">
        <w:rPr>
          <w:szCs w:val="18"/>
        </w:rPr>
        <w:t xml:space="preserve">2) </w:t>
      </w:r>
      <w:r>
        <w:rPr>
          <w:szCs w:val="18"/>
        </w:rPr>
        <w:t xml:space="preserve">Passi scelti da </w:t>
      </w:r>
      <w:r w:rsidR="00FE3ABC" w:rsidRPr="00241FB0">
        <w:rPr>
          <w:szCs w:val="18"/>
        </w:rPr>
        <w:t xml:space="preserve">N. Lewis, </w:t>
      </w:r>
      <w:r w:rsidR="00FE3ABC" w:rsidRPr="00241FB0">
        <w:rPr>
          <w:i/>
          <w:iCs/>
          <w:szCs w:val="18"/>
        </w:rPr>
        <w:t>Greeks in Ptolemaic Egypt</w:t>
      </w:r>
      <w:r w:rsidRPr="00241FB0">
        <w:rPr>
          <w:szCs w:val="18"/>
        </w:rPr>
        <w:t xml:space="preserve">, Oxford 1986; </w:t>
      </w:r>
      <w:r w:rsidRPr="00A5776A">
        <w:rPr>
          <w:rStyle w:val="st"/>
          <w:rFonts w:ascii="Times New Roman" w:hAnsi="Times New Roman"/>
          <w:szCs w:val="18"/>
        </w:rPr>
        <w:t xml:space="preserve">K. Vandorpe, </w:t>
      </w:r>
      <w:r w:rsidRPr="00A5776A">
        <w:rPr>
          <w:rStyle w:val="st"/>
          <w:rFonts w:ascii="Times New Roman" w:hAnsi="Times New Roman"/>
          <w:i/>
          <w:iCs/>
          <w:szCs w:val="18"/>
        </w:rPr>
        <w:t xml:space="preserve">The Bilingual Family Archive of Dryton, his Wife Apollonia and their Daughter </w:t>
      </w:r>
      <w:r w:rsidRPr="000E6C3C">
        <w:rPr>
          <w:rStyle w:val="st"/>
          <w:rFonts w:ascii="Times New Roman" w:hAnsi="Times New Roman"/>
          <w:i/>
          <w:iCs/>
          <w:szCs w:val="18"/>
        </w:rPr>
        <w:t>Senmouthis</w:t>
      </w:r>
      <w:r w:rsidRPr="00A5776A">
        <w:rPr>
          <w:rStyle w:val="st"/>
          <w:rFonts w:ascii="Times New Roman" w:hAnsi="Times New Roman"/>
          <w:szCs w:val="18"/>
        </w:rPr>
        <w:t>, Brussels 2002</w:t>
      </w:r>
      <w:r w:rsidR="008D07E1">
        <w:rPr>
          <w:rStyle w:val="st"/>
          <w:rFonts w:ascii="Times New Roman" w:hAnsi="Times New Roman"/>
          <w:szCs w:val="18"/>
        </w:rPr>
        <w:t xml:space="preserve">; </w:t>
      </w:r>
      <w:r w:rsidR="008D07E1">
        <w:t xml:space="preserve">W. Clarysse, </w:t>
      </w:r>
      <w:r w:rsidR="008D07E1" w:rsidRPr="000E6C3C">
        <w:rPr>
          <w:i/>
          <w:iCs/>
        </w:rPr>
        <w:t>Scribi egiziani che scrivono in greco</w:t>
      </w:r>
      <w:r w:rsidR="008D07E1">
        <w:t xml:space="preserve">, in M. Capasso (a cura di), </w:t>
      </w:r>
      <w:r w:rsidR="008D07E1" w:rsidRPr="000E6C3C">
        <w:rPr>
          <w:i/>
          <w:iCs/>
        </w:rPr>
        <w:t>Atti del V seminario internazionale di Papirologia. Lecce 27-29 giugno 1994</w:t>
      </w:r>
      <w:r w:rsidR="008D07E1">
        <w:t>, Galatina 1995.</w:t>
      </w:r>
    </w:p>
    <w:p w:rsidR="00A5776A" w:rsidRPr="00241FB0" w:rsidRDefault="00A5776A" w:rsidP="008D07E1">
      <w:pPr>
        <w:pStyle w:val="Testo1"/>
        <w:spacing w:before="0"/>
        <w:rPr>
          <w:rFonts w:ascii="Times New Roman" w:hAnsi="Times New Roman"/>
          <w:sz w:val="24"/>
          <w:szCs w:val="24"/>
        </w:rPr>
      </w:pPr>
      <w:r w:rsidRPr="00241FB0">
        <w:t>3</w:t>
      </w:r>
      <w:r w:rsidRPr="00241FB0">
        <w:rPr>
          <w:szCs w:val="18"/>
        </w:rPr>
        <w:t>)</w:t>
      </w:r>
      <w:r w:rsidRPr="00241FB0">
        <w:rPr>
          <w:rFonts w:ascii="Times New Roman" w:hAnsi="Times New Roman"/>
          <w:szCs w:val="18"/>
        </w:rPr>
        <w:t xml:space="preserve"> L.Del Corso </w:t>
      </w:r>
      <w:r w:rsidRPr="00241FB0">
        <w:rPr>
          <w:rFonts w:ascii="Times New Roman" w:hAnsi="Times New Roman"/>
          <w:i/>
          <w:iCs/>
          <w:szCs w:val="18"/>
        </w:rPr>
        <w:t>La scrittura greca di età ellenistica nei papiri greco-egizi. Considerazioni preliminari</w:t>
      </w:r>
      <w:r w:rsidRPr="00241FB0">
        <w:rPr>
          <w:rFonts w:ascii="Times New Roman" w:hAnsi="Times New Roman"/>
          <w:szCs w:val="18"/>
        </w:rPr>
        <w:t>, in Analecta Papyrologica 18-20 (2006-2008), pp. 207-267</w:t>
      </w:r>
      <w:r w:rsidR="008D07E1" w:rsidRPr="00241FB0">
        <w:rPr>
          <w:rFonts w:ascii="Times New Roman" w:hAnsi="Times New Roman"/>
          <w:szCs w:val="18"/>
        </w:rPr>
        <w:t xml:space="preserve">. </w:t>
      </w:r>
    </w:p>
    <w:p w:rsidR="000E6C3C" w:rsidRPr="00BB06E4" w:rsidRDefault="00EE44B6" w:rsidP="00EE44B6">
      <w:pPr>
        <w:pStyle w:val="Testo1"/>
      </w:pPr>
      <w:r>
        <w:t xml:space="preserve">Ulteriori indicazioni bibliografiche </w:t>
      </w:r>
      <w:r w:rsidR="000E6C3C" w:rsidRPr="00BB06E4">
        <w:t xml:space="preserve">e i testi relativi al corso verranno forniti </w:t>
      </w:r>
      <w:r>
        <w:t>a</w:t>
      </w:r>
      <w:r w:rsidR="000E6C3C" w:rsidRPr="00BB06E4">
        <w:t xml:space="preserve"> lezion</w:t>
      </w:r>
      <w:r>
        <w:t>e</w:t>
      </w:r>
      <w:r w:rsidR="000E6C3C" w:rsidRPr="00BB06E4">
        <w:t>.</w:t>
      </w:r>
    </w:p>
    <w:p w:rsidR="00FE3ABC" w:rsidRPr="00BB06E4" w:rsidRDefault="00FE3ABC" w:rsidP="00EE44B6">
      <w:pPr>
        <w:pStyle w:val="Testo1"/>
        <w:spacing w:before="0"/>
      </w:pPr>
      <w:r w:rsidRPr="00BB06E4">
        <w:t xml:space="preserve">Si utilizzeranno, oltre alle edizioni critiche cartacee, anche strumenti informatici, come i databases presenti su </w:t>
      </w:r>
      <w:r w:rsidRPr="00EE44B6">
        <w:rPr>
          <w:i/>
          <w:iCs/>
        </w:rPr>
        <w:t>Trismegistos</w:t>
      </w:r>
      <w:r w:rsidR="00BB06E4" w:rsidRPr="00BB06E4">
        <w:t xml:space="preserve"> (</w:t>
      </w:r>
      <w:r w:rsidRPr="00BB06E4">
        <w:t xml:space="preserve">https://www.trismegistos.org/arch/index.php), il </w:t>
      </w:r>
      <w:r w:rsidRPr="00BB06E4">
        <w:rPr>
          <w:rStyle w:val="Enfasicorsivo"/>
          <w:i w:val="0"/>
          <w:iCs w:val="0"/>
        </w:rPr>
        <w:t>Duke Databank of Documentary Papyri, il database Mertens</w:t>
      </w:r>
      <w:r w:rsidRPr="00BB06E4">
        <w:rPr>
          <w:rStyle w:val="st"/>
        </w:rPr>
        <w:t>-</w:t>
      </w:r>
      <w:r w:rsidRPr="00BB06E4">
        <w:rPr>
          <w:rStyle w:val="Enfasicorsivo"/>
          <w:i w:val="0"/>
          <w:iCs w:val="0"/>
        </w:rPr>
        <w:t>Pack</w:t>
      </w:r>
      <w:r w:rsidRPr="00BB06E4">
        <w:rPr>
          <w:rStyle w:val="st"/>
        </w:rPr>
        <w:t>3.</w:t>
      </w:r>
    </w:p>
    <w:p w:rsidR="00FE3ABC" w:rsidRDefault="00FE3ABC" w:rsidP="00FE3A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E3ABC" w:rsidRPr="00FE3ABC" w:rsidRDefault="00FE3ABC" w:rsidP="00FE3ABC">
      <w:pPr>
        <w:pStyle w:val="Testo2"/>
      </w:pPr>
      <w:r w:rsidRPr="00FE3ABC">
        <w:t>Lezioni in aula; lettura di testi originali.</w:t>
      </w:r>
    </w:p>
    <w:p w:rsidR="00FE3ABC" w:rsidRDefault="00FE3ABC" w:rsidP="00FE3A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FE3ABC" w:rsidRPr="00FE3ABC" w:rsidRDefault="00FE3ABC" w:rsidP="00FE3ABC">
      <w:pPr>
        <w:pStyle w:val="Testo2"/>
      </w:pPr>
      <w:r w:rsidRPr="00FE3ABC">
        <w:t>Esame orale</w:t>
      </w:r>
      <w:r w:rsidR="00404DB3">
        <w:t xml:space="preserve"> sui contenuti del corso</w:t>
      </w:r>
      <w:r w:rsidRPr="00FE3ABC">
        <w:t>. Lettura, traduzione e commento (paleografico, linguistico, storico-culturale) dei testi analizzati.</w:t>
      </w:r>
    </w:p>
    <w:p w:rsidR="00EE44B6" w:rsidRDefault="00FE3ABC" w:rsidP="00FE3ABC">
      <w:pPr>
        <w:pStyle w:val="Testo2"/>
      </w:pPr>
      <w:r w:rsidRPr="00FE3ABC">
        <w:t xml:space="preserve">L'esame orale prevede domande relative all’argomento trattato nel corso; sarà richiesta la lettura e la traduzione di uno o più d'uno dei testi letti e commentati a lezione; si </w:t>
      </w:r>
      <w:r w:rsidRPr="00FE3ABC">
        <w:lastRenderedPageBreak/>
        <w:t xml:space="preserve">verificherà che lo studente sia in grado di leggere un testo su supporto papiraceo, e di interpretare un apparato critico in un’edizione a stampa di uno dei testi suddetti. </w:t>
      </w:r>
    </w:p>
    <w:p w:rsidR="00FE3ABC" w:rsidRPr="00FE3ABC" w:rsidRDefault="00FE3ABC" w:rsidP="00FE3ABC">
      <w:pPr>
        <w:pStyle w:val="Testo2"/>
      </w:pPr>
      <w:r w:rsidRPr="00FE3ABC">
        <w:t>Nel formulare i giudizi si terrà conto della pertinenza nelle risposte, del livello di approfondimento dell’argomento, della capacità di analisi e di sintesi, della chiarezza e della coerenza espositiva, della proprietà espressiva e della capacità di utilizzare i termini tecnici specifici della materia.</w:t>
      </w:r>
    </w:p>
    <w:p w:rsidR="00FE3ABC" w:rsidRDefault="00FE3ABC" w:rsidP="00FE3AB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E6C3C" w:rsidRDefault="000E6C3C" w:rsidP="000E6C3C">
      <w:pPr>
        <w:pStyle w:val="Testo2"/>
      </w:pPr>
      <w:r>
        <w:t>Una solida</w:t>
      </w:r>
      <w:r w:rsidRPr="00FE3ABC">
        <w:t xml:space="preserve"> conoscenza del greco è prerequisito fondamentale per seguire il corso e sostenere l’esame</w:t>
      </w:r>
      <w:r>
        <w:t>.</w:t>
      </w:r>
      <w:r w:rsidR="00FF2CCA">
        <w:t xml:space="preserve"> Si presuppone anche una buona conoscenza della Storia Antica (almeno della cultura greca e latina).</w:t>
      </w:r>
    </w:p>
    <w:p w:rsidR="00FE3ABC" w:rsidRDefault="00FE3ABC" w:rsidP="000E6C3C">
      <w:pPr>
        <w:pStyle w:val="Testo2"/>
      </w:pPr>
      <w:r w:rsidRPr="00FE3ABC">
        <w:t xml:space="preserve">Gli studenti che sostengono per la prima volta l'esame di Papirologia sono tenuti a preparare il programma del I modulo; il II modulo è riservato a chi abbia già conseguito 6 </w:t>
      </w:r>
      <w:r w:rsidR="000E6C3C">
        <w:t>CFU</w:t>
      </w:r>
      <w:r w:rsidRPr="00FE3ABC">
        <w:t xml:space="preserve"> in Papirologia.</w:t>
      </w:r>
    </w:p>
    <w:p w:rsidR="00510357" w:rsidRPr="00790811" w:rsidRDefault="00510357" w:rsidP="00510357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FE3ABC" w:rsidRPr="00F309ED" w:rsidRDefault="00FE3ABC" w:rsidP="00FE3ABC">
      <w:pPr>
        <w:pStyle w:val="Testo2"/>
        <w:spacing w:before="120"/>
        <w:rPr>
          <w:i/>
          <w:szCs w:val="18"/>
        </w:rPr>
      </w:pPr>
      <w:r w:rsidRPr="00F309ED">
        <w:rPr>
          <w:i/>
          <w:szCs w:val="18"/>
        </w:rPr>
        <w:t>Orario e luogo di ricevimento:</w:t>
      </w:r>
    </w:p>
    <w:p w:rsidR="00FE3ABC" w:rsidRDefault="00BB06E4" w:rsidP="00FE3ABC">
      <w:pPr>
        <w:pStyle w:val="Testo2"/>
      </w:pPr>
      <w:r>
        <w:t>Il</w:t>
      </w:r>
      <w:r w:rsidR="00FE3ABC" w:rsidRPr="00FE3ABC">
        <w:t xml:space="preserve"> Prof. Silvia Barbantani riceve gli studenti presso il suo studio </w:t>
      </w:r>
      <w:r w:rsidR="00A33D1E">
        <w:t xml:space="preserve">(stanza 132) </w:t>
      </w:r>
      <w:r w:rsidR="00FE3ABC" w:rsidRPr="00FE3ABC">
        <w:t>nel Dipartimento di Filologia classica, Papirologia e Linguistica storica</w:t>
      </w:r>
      <w:r w:rsidR="00A33D1E">
        <w:t>, edificio Gregorianum I piano,</w:t>
      </w:r>
      <w:r w:rsidR="00FE3ABC" w:rsidRPr="00FE3ABC">
        <w:t xml:space="preserve"> nell’orario di ricevimento come da avviso affisso in bacheca e presente sull’aula virtuale. Eventuali variazioni d’orario saranno comunicate nella bacheca della docente e tramite blackboard. Al di fuori del periodo di lezione il ricevimento è solo su appuntamento: la docente è reperibile all’indirizzo email </w:t>
      </w:r>
      <w:hyperlink r:id="rId10" w:history="1">
        <w:r w:rsidR="00041278" w:rsidRPr="005B22D1">
          <w:rPr>
            <w:rStyle w:val="Collegamentoipertestuale"/>
            <w:i/>
          </w:rPr>
          <w:t>silvia.barbantani@unicatt.it</w:t>
        </w:r>
      </w:hyperlink>
      <w:r w:rsidR="00FE3ABC" w:rsidRPr="00FE3ABC">
        <w:t>.</w:t>
      </w:r>
    </w:p>
    <w:sectPr w:rsidR="00FE3AB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6E" w:rsidRDefault="00846C6E" w:rsidP="006A5F41">
      <w:pPr>
        <w:spacing w:line="240" w:lineRule="auto"/>
      </w:pPr>
      <w:r>
        <w:separator/>
      </w:r>
    </w:p>
  </w:endnote>
  <w:endnote w:type="continuationSeparator" w:id="0">
    <w:p w:rsidR="00846C6E" w:rsidRDefault="00846C6E" w:rsidP="006A5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6E" w:rsidRDefault="00846C6E" w:rsidP="006A5F41">
      <w:pPr>
        <w:spacing w:line="240" w:lineRule="auto"/>
      </w:pPr>
      <w:r>
        <w:separator/>
      </w:r>
    </w:p>
  </w:footnote>
  <w:footnote w:type="continuationSeparator" w:id="0">
    <w:p w:rsidR="00846C6E" w:rsidRDefault="00846C6E" w:rsidP="006A5F41">
      <w:pPr>
        <w:spacing w:line="240" w:lineRule="auto"/>
      </w:pPr>
      <w:r>
        <w:continuationSeparator/>
      </w:r>
    </w:p>
  </w:footnote>
  <w:footnote w:id="1">
    <w:p w:rsidR="00795BE0" w:rsidRDefault="00795BE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0B30"/>
    <w:multiLevelType w:val="multilevel"/>
    <w:tmpl w:val="BD10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549DE"/>
    <w:multiLevelType w:val="hybridMultilevel"/>
    <w:tmpl w:val="7D6E810E"/>
    <w:lvl w:ilvl="0" w:tplc="C94E32E8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46"/>
    <w:multiLevelType w:val="hybridMultilevel"/>
    <w:tmpl w:val="A4E213C2"/>
    <w:lvl w:ilvl="0" w:tplc="C30C2CB6">
      <w:start w:val="18"/>
      <w:numFmt w:val="bullet"/>
      <w:lvlText w:val="–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C62386"/>
    <w:multiLevelType w:val="hybridMultilevel"/>
    <w:tmpl w:val="8168FCDA"/>
    <w:lvl w:ilvl="0" w:tplc="8788D394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1774B"/>
    <w:multiLevelType w:val="hybridMultilevel"/>
    <w:tmpl w:val="CB4E0574"/>
    <w:lvl w:ilvl="0" w:tplc="09264580">
      <w:start w:val="18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85"/>
    <w:rsid w:val="000037BB"/>
    <w:rsid w:val="00041278"/>
    <w:rsid w:val="00077E24"/>
    <w:rsid w:val="000E6C3C"/>
    <w:rsid w:val="00187B99"/>
    <w:rsid w:val="002014DD"/>
    <w:rsid w:val="00241FB0"/>
    <w:rsid w:val="00247F85"/>
    <w:rsid w:val="002D5E17"/>
    <w:rsid w:val="002E3A31"/>
    <w:rsid w:val="00404DB3"/>
    <w:rsid w:val="004A794A"/>
    <w:rsid w:val="004D1217"/>
    <w:rsid w:val="004D6008"/>
    <w:rsid w:val="00510357"/>
    <w:rsid w:val="0056227F"/>
    <w:rsid w:val="00583905"/>
    <w:rsid w:val="005A43EA"/>
    <w:rsid w:val="005A7355"/>
    <w:rsid w:val="005B5974"/>
    <w:rsid w:val="00640794"/>
    <w:rsid w:val="00651A0F"/>
    <w:rsid w:val="00676CE7"/>
    <w:rsid w:val="006A5F41"/>
    <w:rsid w:val="006B2D38"/>
    <w:rsid w:val="006F1772"/>
    <w:rsid w:val="00795BE0"/>
    <w:rsid w:val="0084677F"/>
    <w:rsid w:val="00846C6E"/>
    <w:rsid w:val="00856360"/>
    <w:rsid w:val="008600CC"/>
    <w:rsid w:val="00884AFE"/>
    <w:rsid w:val="008942E7"/>
    <w:rsid w:val="008A1204"/>
    <w:rsid w:val="008D07E1"/>
    <w:rsid w:val="00900CCA"/>
    <w:rsid w:val="00924847"/>
    <w:rsid w:val="00924B77"/>
    <w:rsid w:val="00933E37"/>
    <w:rsid w:val="00940DA2"/>
    <w:rsid w:val="00950F74"/>
    <w:rsid w:val="009E055C"/>
    <w:rsid w:val="00A33D1E"/>
    <w:rsid w:val="00A34AA5"/>
    <w:rsid w:val="00A5776A"/>
    <w:rsid w:val="00A74F6F"/>
    <w:rsid w:val="00AB1896"/>
    <w:rsid w:val="00AD7557"/>
    <w:rsid w:val="00B50C5D"/>
    <w:rsid w:val="00B51253"/>
    <w:rsid w:val="00B525CC"/>
    <w:rsid w:val="00BB06E4"/>
    <w:rsid w:val="00CD2A77"/>
    <w:rsid w:val="00D23269"/>
    <w:rsid w:val="00D404F2"/>
    <w:rsid w:val="00E607E6"/>
    <w:rsid w:val="00EA1CDE"/>
    <w:rsid w:val="00EE44B6"/>
    <w:rsid w:val="00F234DE"/>
    <w:rsid w:val="00FE3ABC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95B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3AB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st">
    <w:name w:val="st"/>
    <w:basedOn w:val="Carpredefinitoparagrafo"/>
    <w:rsid w:val="00FE3ABC"/>
  </w:style>
  <w:style w:type="character" w:styleId="Enfasicorsivo">
    <w:name w:val="Emphasis"/>
    <w:basedOn w:val="Carpredefinitoparagrafo"/>
    <w:uiPriority w:val="20"/>
    <w:qFormat/>
    <w:rsid w:val="00FE3AB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FE3A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B06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A5F41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5F41"/>
    <w:rPr>
      <w:rFonts w:ascii="Times" w:hAnsi="Times"/>
    </w:rPr>
  </w:style>
  <w:style w:type="character" w:styleId="Rimandonotaapidipagina">
    <w:name w:val="footnote reference"/>
    <w:basedOn w:val="Carpredefinitoparagrafo"/>
    <w:rsid w:val="006A5F4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95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lvia.barbantani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orsolina-montevecchi/la-papirologia-9788834369104-14048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0484-2952-49FC-9711-C482B138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1155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5</cp:revision>
  <cp:lastPrinted>2003-03-27T10:42:00Z</cp:lastPrinted>
  <dcterms:created xsi:type="dcterms:W3CDTF">2020-04-19T13:46:00Z</dcterms:created>
  <dcterms:modified xsi:type="dcterms:W3CDTF">2020-07-20T13:52:00Z</dcterms:modified>
</cp:coreProperties>
</file>