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96" w:rsidRDefault="005E5B96">
      <w:pPr>
        <w:pStyle w:val="Titolo1"/>
      </w:pPr>
      <w:r w:rsidRPr="00FA79BF">
        <w:t>Endocrinologia e nutrizione umana</w:t>
      </w:r>
    </w:p>
    <w:p w:rsidR="005E5B96" w:rsidRDefault="005E5B96" w:rsidP="005E5B96">
      <w:pPr>
        <w:pStyle w:val="Titolo2"/>
      </w:pPr>
      <w:r w:rsidRPr="005E5B96">
        <w:t>Prof. Giacinto Miggiano</w:t>
      </w:r>
      <w:r>
        <w:t>; Prof. Rosa Maria Paragliola</w:t>
      </w:r>
    </w:p>
    <w:p w:rsidR="005E5B96" w:rsidRPr="00FA79BF" w:rsidRDefault="005E5B96" w:rsidP="005E5B96">
      <w:pPr>
        <w:pStyle w:val="Titolo2"/>
        <w:spacing w:before="360"/>
      </w:pPr>
      <w:r w:rsidRPr="00FA79BF">
        <w:t xml:space="preserve">I Modulo: </w:t>
      </w:r>
      <w:r w:rsidRPr="00B4604B">
        <w:rPr>
          <w:rFonts w:ascii="Times New Roman" w:eastAsiaTheme="minorEastAsia" w:hAnsi="Times New Roman"/>
          <w:i/>
          <w:smallCaps w:val="0"/>
          <w:noProof w:val="0"/>
          <w:sz w:val="20"/>
        </w:rPr>
        <w:t>Endocrinologia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</w:t>
      </w:r>
      <w:r w:rsidR="00EC43C3" w:rsidRPr="00B4604B">
        <w:rPr>
          <w:rFonts w:ascii="Times New Roman" w:eastAsiaTheme="minorEastAsia" w:hAnsi="Times New Roman"/>
          <w:smallCaps w:val="0"/>
          <w:noProof w:val="0"/>
          <w:sz w:val="20"/>
        </w:rPr>
        <w:t>(</w:t>
      </w:r>
      <w:r w:rsidR="00B4604B">
        <w:rPr>
          <w:rFonts w:ascii="Times New Roman" w:eastAsiaTheme="minorEastAsia" w:hAnsi="Times New Roman"/>
          <w:smallCaps w:val="0"/>
          <w:noProof w:val="0"/>
          <w:sz w:val="20"/>
        </w:rPr>
        <w:t>P</w:t>
      </w:r>
      <w:r w:rsidR="00EC43C3" w:rsidRPr="00B4604B">
        <w:rPr>
          <w:rFonts w:ascii="Times New Roman" w:eastAsiaTheme="minorEastAsia" w:hAnsi="Times New Roman"/>
          <w:smallCaps w:val="0"/>
          <w:noProof w:val="0"/>
          <w:sz w:val="20"/>
        </w:rPr>
        <w:t>rof.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Rosa Maria Paragliola)</w:t>
      </w:r>
    </w:p>
    <w:p w:rsidR="005E5B96" w:rsidRPr="005E5B96" w:rsidRDefault="005E5B96" w:rsidP="005E5B96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452F08" w:rsidRPr="00452F08" w:rsidRDefault="00452F08" w:rsidP="00452F08">
      <w:pPr>
        <w:spacing w:before="240" w:after="120" w:line="240" w:lineRule="exac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2F08">
        <w:rPr>
          <w:rFonts w:ascii="Times New Roman" w:hAnsi="Times New Roman" w:cs="Times New Roman"/>
          <w:bCs/>
          <w:iCs/>
          <w:sz w:val="20"/>
          <w:szCs w:val="20"/>
        </w:rPr>
        <w:t xml:space="preserve">L’insegnamento di “Endocrinologia” si propone di fornire agli studenti le nozioni base sui principi fondamentali del funzionamento del sistema endocrino. Il corso è finalizzato a far conoscere e comprendere le influenze del sistema endocrino sulle attività motorie e, viceversa, come la pratica sportiva influenzi il sistema endocrino.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- Knowledge and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understanding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1)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bookmarkStart w:id="0" w:name="_Hlk40482682"/>
      <w:r w:rsidRPr="00452F08">
        <w:rPr>
          <w:rFonts w:ascii="Times New Roman" w:hAnsi="Times New Roman" w:cs="Times New Roman"/>
          <w:iCs/>
          <w:sz w:val="20"/>
          <w:szCs w:val="20"/>
        </w:rPr>
        <w:t xml:space="preserve">Al termine dell’insegnamento, lo </w:t>
      </w:r>
      <w:bookmarkEnd w:id="0"/>
      <w:r w:rsidRPr="00452F08">
        <w:rPr>
          <w:rFonts w:ascii="Times New Roman" w:hAnsi="Times New Roman" w:cs="Times New Roman"/>
          <w:iCs/>
          <w:sz w:val="20"/>
          <w:szCs w:val="20"/>
        </w:rPr>
        <w:t>studente deve essere in grado di comprendere</w:t>
      </w:r>
      <w:r w:rsidRPr="00452F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2F08">
        <w:rPr>
          <w:rFonts w:ascii="Times New Roman" w:hAnsi="Times New Roman" w:cs="Times New Roman"/>
          <w:sz w:val="20"/>
          <w:szCs w:val="20"/>
        </w:rPr>
        <w:t>le interazioni tra il sistema endocrino e le attività motorie e di conoscere le principali patologie endocrine e il loro impatto nella pratica sportiva.</w:t>
      </w:r>
    </w:p>
    <w:p w:rsidR="00452F08" w:rsidRPr="00452F08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applicate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Applying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knowledge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and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understanding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2)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individuare le situazioni cliniche per le quali lo svolgimento dell’attività fisico-sportiva richiede l’adozione di specifici provvedimenti terapeutici, nonché le condizioni per le quali l’attività fisica rappresenta un fondamentale ausilio preventivo e/o terapeutico.</w:t>
      </w:r>
    </w:p>
    <w:p w:rsidR="00452F08" w:rsidRPr="00452F08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Autonomia di giudizio -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Making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judgements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3)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ideare autonomamente proposte, percorsi e protocolli di attività motoria o sportiva in presenza di particolari patologie endocrine, che richiedano un approccio più personalizzato, con particolare riguardo alla prevenzione di patologie nonché dei i rischi legati all’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ovetraining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 xml:space="preserve"> e del doping.</w:t>
      </w:r>
    </w:p>
    <w:p w:rsidR="00452F08" w:rsidRPr="00452F08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Abilità comunicative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Communication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skills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4)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Lo studente deve essere in grado di comunicare informazioni, idee, problemi e soluzioni adeguando il livello della comunicazione agli interlocutori cui è rivolta.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Capacità di apprendere – Learning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skills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5)</w:t>
      </w:r>
    </w:p>
    <w:p w:rsidR="00452F08" w:rsidRPr="00452F08" w:rsidRDefault="00452F08" w:rsidP="00452F08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lastRenderedPageBreak/>
        <w:t xml:space="preserve">Lo studente deve dimostrare di aver appreso esaurientemente le tematiche del corso, necessarie per intraprendere studi e approfondimenti successivi con un alto grado di autonomia. </w:t>
      </w:r>
    </w:p>
    <w:p w:rsidR="005E5B96" w:rsidRPr="005E5B96" w:rsidRDefault="005E5B96" w:rsidP="005E5B96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PROGRAMMA DEL CORSO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Principi generali di Endocrinologia</w:t>
      </w:r>
      <w:r w:rsidRPr="00452F08">
        <w:rPr>
          <w:rFonts w:ascii="Times New Roman" w:hAnsi="Times New Roman" w:cs="Times New Roman"/>
          <w:sz w:val="20"/>
          <w:szCs w:val="20"/>
        </w:rPr>
        <w:br/>
        <w:t>Secrezione ormonale e modalità di azione degli ormoni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Funzionalità dell’asse ipotalamo-ipofisi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Patologie ipofisarie (adenomi ipofisari, 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iperprolattinemie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 xml:space="preserve">, patologie della secrezione del GH, 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ipostaturalismi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>, ipopituitarismo, ipogonadismo, diabete insipido)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Cenni di anatomia e fisiologia della tiroide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Patologie tiroidee (tiroiditi, ipotiroidismo, ipertiroidismo e tireotossicosi, nodulo tiroideo, tumori della tiroide)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Cenni di anatomia e fisiologia del surrene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Patologie della ghiandola surrenalica (sindrome di 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Cushing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 xml:space="preserve">, iposurrenalismo, ipertensioni endocrine) 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Fisiologia e fisiopatologia del metabolismo calcio-fosforico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Patologie delle paratiroidi e dell’osso (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ipoparatiroidismi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>, iperparatiroidismi, osteoporosi)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52F08">
        <w:rPr>
          <w:rFonts w:ascii="Times New Roman" w:hAnsi="Times New Roman" w:cs="Times New Roman"/>
          <w:sz w:val="20"/>
          <w:szCs w:val="20"/>
        </w:rPr>
        <w:t>Iperandrogenismi</w:t>
      </w:r>
      <w:proofErr w:type="spellEnd"/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Diabete mellito: classificazione e diagnosi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Ipoglicemie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Doping ormonale.</w:t>
      </w:r>
    </w:p>
    <w:p w:rsidR="005E5B96" w:rsidRPr="005E5B96" w:rsidRDefault="005E5B96" w:rsidP="005E5B96">
      <w:pPr>
        <w:keepNext/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BIBLIOGRAFIA</w:t>
      </w:r>
      <w:r w:rsidR="00802A49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5E5B96" w:rsidRPr="005E5B96" w:rsidRDefault="005E5B96" w:rsidP="005E5B96">
      <w:pPr>
        <w:pStyle w:val="Testo1"/>
        <w:spacing w:before="0" w:line="240" w:lineRule="atLeast"/>
        <w:rPr>
          <w:spacing w:val="-5"/>
        </w:rPr>
      </w:pPr>
      <w:r w:rsidRPr="005E5B96">
        <w:rPr>
          <w:smallCaps/>
          <w:spacing w:val="-5"/>
          <w:sz w:val="16"/>
        </w:rPr>
        <w:t>A. Lenzi-G. Lombardi-E. Martino-F. Trimarchi,</w:t>
      </w:r>
      <w:r w:rsidRPr="005E5B96">
        <w:rPr>
          <w:i/>
          <w:spacing w:val="-5"/>
        </w:rPr>
        <w:t xml:space="preserve"> Endocrinologia e attività motorie,</w:t>
      </w:r>
      <w:r w:rsidRPr="005E5B96">
        <w:rPr>
          <w:spacing w:val="-5"/>
        </w:rPr>
        <w:t xml:space="preserve"> Ed. Elsevier Masson, Milano, 2008.</w:t>
      </w:r>
    </w:p>
    <w:p w:rsidR="005E5B96" w:rsidRPr="005E5B96" w:rsidRDefault="005E5B96" w:rsidP="005E5B9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DIDATTICA DEL CORSO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- Knowledge and understanding (Dublino 1)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Le lezioni frontali costituiscono il corpo principale dei metodi didattici del corso. Durante le lezioni vengono sviluppate le tematiche inerenti al programma per il conseguimento delle conoscenze e della capacità di comprensione indicate negli obiettivi formativi specifici del corso (attraverso la presentazione di casi clinici interattivi e di slides da discutere.)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lastRenderedPageBreak/>
        <w:t>Conoscenza e capacità di comprensione applicate – Applying knowledge and understanding (Dublino 2)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Durante le lezioni vengono costantemente forniti esempi pratici per consentire agli studenti di applicare le conoscenze e le capacità di comprensione nelle situazioni indicate negli obiettivi formativi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Autonomia di giudizio - Making judgements (Dublino 3)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 xml:space="preserve">L’autonomia di giudizio sarà favorita attraverso indicazioni e spunti relativi a percorsi e protocolli indicati negli obiettivi formativi e stimoli all’approfondimento personale dei contenuti delle lezioni 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Abilità comunicative – Communication skills (Dublino 4)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I metodi didattici utilizzati consentono agli studenti di acquisire una terminologia appropriata attraverso la discussione dei casi preparati.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Capacità di apprendere – Learning skills (Dublino 5):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La trattazione critica degli argomenti e la impostazione “per problemi” favorisce il conseguimento di autonomia di giudizio e accresce il desiderio di approfondimento personale utili al proseguimento degli studi e alla formazione permanente e ricorrente.</w:t>
      </w:r>
    </w:p>
    <w:p w:rsidR="005E5B96" w:rsidRPr="005E5B96" w:rsidRDefault="005E5B96" w:rsidP="005E5B9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086D40" w:rsidRDefault="00086D40" w:rsidP="00086D40">
      <w:pPr>
        <w:spacing w:before="120" w:after="12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086D40">
        <w:rPr>
          <w:rFonts w:ascii="Times" w:eastAsia="Times New Roman" w:hAnsi="Times" w:cs="Times New Roman"/>
          <w:noProof/>
          <w:sz w:val="18"/>
          <w:szCs w:val="20"/>
        </w:rPr>
        <w:t>Per accertare la preparazione del candidato e per il superamento della prova occorre rispondere a quiz a scelta multipla e/o sostenere una prova orale su argomenti della materia, previsti nel programma. Il voto finale viene espresso in trentesimi e consiste nella media dei voti dei singoli moduli. Lo studente si deve attenere per il superamento della prova di esame a quanto previsto dalla procedura ufficiale.</w:t>
      </w:r>
    </w:p>
    <w:p w:rsidR="005E5B96" w:rsidRPr="005E5B96" w:rsidRDefault="005E5B96" w:rsidP="005E5B96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5E5B96" w:rsidRPr="00086D40" w:rsidRDefault="005E5B96" w:rsidP="00086D40">
      <w:pPr>
        <w:pStyle w:val="Testo2"/>
      </w:pPr>
      <w:r>
        <w:t xml:space="preserve">Conoscenze </w:t>
      </w:r>
      <w:r w:rsidR="00086D40">
        <w:t>della a</w:t>
      </w:r>
      <w:r w:rsidR="00086D40" w:rsidRPr="00086D40">
        <w:t>natomia e della fisiologia del sistema endocrino; biochimica</w:t>
      </w:r>
    </w:p>
    <w:p w:rsidR="00086D40" w:rsidRPr="00086D40" w:rsidRDefault="00086D40" w:rsidP="00086D40">
      <w:pPr>
        <w:pStyle w:val="Testo2"/>
      </w:pPr>
      <w:r w:rsidRPr="00086D40">
        <w:t>Ulteriori informazioni possono essere trovate sul sito http://www.unicatt.it.</w:t>
      </w:r>
    </w:p>
    <w:p w:rsidR="005E5B96" w:rsidRPr="00B4604B" w:rsidRDefault="00B4604B" w:rsidP="00B4604B">
      <w:pPr>
        <w:pStyle w:val="Testo2"/>
        <w:spacing w:before="120"/>
        <w:rPr>
          <w:i/>
        </w:rPr>
      </w:pPr>
      <w:r w:rsidRPr="00B4604B">
        <w:rPr>
          <w:i/>
        </w:rPr>
        <w:t xml:space="preserve">Orario e luogo di ricevimento </w:t>
      </w:r>
    </w:p>
    <w:p w:rsidR="005E5B96" w:rsidRDefault="00B4604B" w:rsidP="005E5B96">
      <w:pPr>
        <w:pStyle w:val="Testo2"/>
      </w:pPr>
      <w:r>
        <w:t>Il Prof.</w:t>
      </w:r>
      <w:r w:rsidR="005E5B96" w:rsidRPr="00FA79BF">
        <w:t xml:space="preserve"> Rosa Maria Paragliola riceverà gli studenti al</w:t>
      </w:r>
      <w:r w:rsidR="005E5B96">
        <w:t xml:space="preserve"> termine delle lezioni in aula.</w:t>
      </w:r>
    </w:p>
    <w:p w:rsidR="00086D40" w:rsidRDefault="00086D40" w:rsidP="005E5B96">
      <w:pPr>
        <w:pStyle w:val="Testo2"/>
      </w:pPr>
    </w:p>
    <w:p w:rsidR="00086D40" w:rsidRDefault="00086D40" w:rsidP="00086D40">
      <w:pPr>
        <w:spacing w:before="120" w:after="0"/>
        <w:ind w:firstLine="284"/>
        <w:rPr>
          <w:rFonts w:ascii="Times New Roman" w:eastAsiaTheme="minorHAnsi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C43C3" w:rsidRDefault="00EC43C3" w:rsidP="00EC43C3">
      <w:pPr>
        <w:pStyle w:val="Titolo2"/>
        <w:spacing w:before="240"/>
      </w:pPr>
      <w:r>
        <w:t>M</w:t>
      </w:r>
      <w:r w:rsidRPr="00EC43C3">
        <w:t xml:space="preserve">odulo </w:t>
      </w:r>
      <w:r w:rsidR="00B4604B">
        <w:t>II</w:t>
      </w:r>
      <w:r w:rsidRPr="00EC43C3">
        <w:t xml:space="preserve">: </w:t>
      </w:r>
      <w:r w:rsidRPr="00B4604B">
        <w:rPr>
          <w:rFonts w:ascii="Times New Roman" w:eastAsiaTheme="minorEastAsia" w:hAnsi="Times New Roman"/>
          <w:i/>
          <w:smallCaps w:val="0"/>
          <w:noProof w:val="0"/>
          <w:sz w:val="20"/>
        </w:rPr>
        <w:t>Nutrizione umana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(Prof. Giacinto Miggiano)</w:t>
      </w:r>
    </w:p>
    <w:p w:rsidR="00EC43C3" w:rsidRPr="00EC43C3" w:rsidRDefault="00EC43C3" w:rsidP="00EC43C3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452F08" w:rsidRPr="00452F08" w:rsidRDefault="00452F08" w:rsidP="00452F08">
      <w:pPr>
        <w:spacing w:before="240"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lastRenderedPageBreak/>
        <w:t xml:space="preserve">L’insegnamento di “Nutrizione Umana” si propone di fornire agli studenti i principi fondamentali e le applicazioni delle Scienze Nutrizionali, nonché le conoscenze di intervento dietetico-nutrizionale in soggetti normali e in persone che praticano attività sportiva. 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- Knowledge and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understanding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1)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comprendere le modalità di utilizzazione dei nutrienti e di altre sostanze bioattive da parte dell’organismo umano in relazione ai processi metabolici, alla crescita, allo sviluppo e alle funzioni dell’organismo, allo stato di salute e benessere dell’individuo.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applicate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Applying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knowledge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and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understanding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2)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Al termine dell’insegnamento, lo studente deve essere in grado di applicare strategie finalizzate a migliorare la qualità della vita e a promuovere la salute, nonché di gestire i problemi nutrizionali più comuni e le richieste nutrizionali specifiche legate all’attività fisica. 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Autonomia di giudizio -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Making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judgements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3)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valutare autonomamente le strategie di intervento dietetico-nutrizionale indicate per soggetti normali e/o condizioni particolari, in occasione dell’evento sportivo (prima, durante e dopo la prestazione sportiva).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Abilità comunicative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Communication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skills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4)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Lo studente deve essere in grado di comunicare informazioni, idee, problemi e soluzioni adeguando il livello della comunicazione agli interlocutori cui è rivolta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Capacità di apprendere – Learning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skills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5)</w:t>
      </w:r>
    </w:p>
    <w:p w:rsidR="00452F08" w:rsidRDefault="00452F08" w:rsidP="00452F08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Lo studente deve dimostrare di aver appreso esaurientemente le tematiche del corso, necessarie per intraprendere studi e approfondimenti successivi con un alto grado di autonomia </w:t>
      </w:r>
    </w:p>
    <w:p w:rsidR="00EC43C3" w:rsidRPr="00EC43C3" w:rsidRDefault="00EC43C3" w:rsidP="00452F08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PROGRAMMA DEL CORSO</w:t>
      </w:r>
    </w:p>
    <w:p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086D40">
        <w:rPr>
          <w:rFonts w:ascii="Times New Roman" w:hAnsi="Times New Roman" w:cs="Times New Roman"/>
          <w:i/>
          <w:sz w:val="20"/>
          <w:szCs w:val="20"/>
        </w:rPr>
        <w:t>Nutrizione Umana (di Base ed Applicata)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1.1.1</w:t>
      </w:r>
      <w:r w:rsidRPr="00086D40">
        <w:rPr>
          <w:rFonts w:ascii="Times New Roman" w:hAnsi="Times New Roman" w:cs="Times New Roman"/>
          <w:sz w:val="20"/>
          <w:szCs w:val="20"/>
        </w:rPr>
        <w:tab/>
        <w:t>I Nutrienti: alla base della vita.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1.1.2</w:t>
      </w:r>
      <w:r w:rsidRPr="00086D40">
        <w:rPr>
          <w:rFonts w:ascii="Times New Roman" w:hAnsi="Times New Roman" w:cs="Times New Roman"/>
          <w:sz w:val="20"/>
          <w:szCs w:val="20"/>
        </w:rPr>
        <w:tab/>
        <w:t>Significato di Alimentazione, Nutrizione e Dietetica.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1.2.1</w:t>
      </w:r>
      <w:r w:rsidRPr="00086D40">
        <w:rPr>
          <w:rFonts w:ascii="Times New Roman" w:hAnsi="Times New Roman" w:cs="Times New Roman"/>
          <w:sz w:val="20"/>
          <w:szCs w:val="20"/>
        </w:rPr>
        <w:tab/>
        <w:t>Concetto di Bilancio.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1.2.2</w:t>
      </w:r>
      <w:r w:rsidRPr="00086D40">
        <w:rPr>
          <w:rFonts w:ascii="Times New Roman" w:hAnsi="Times New Roman" w:cs="Times New Roman"/>
          <w:sz w:val="20"/>
          <w:szCs w:val="20"/>
        </w:rPr>
        <w:tab/>
        <w:t>Vie di introduzione, organi di deposito e vie di escrezione dei nutrienti.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1.3.1</w:t>
      </w:r>
      <w:r w:rsidRPr="00086D40">
        <w:rPr>
          <w:rFonts w:ascii="Times New Roman" w:hAnsi="Times New Roman" w:cs="Times New Roman"/>
          <w:sz w:val="20"/>
          <w:szCs w:val="20"/>
        </w:rPr>
        <w:tab/>
        <w:t>Fonti di Alimenti. Categorie alimentari e composizione degli alimenti.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1.4.1</w:t>
      </w:r>
      <w:r w:rsidRPr="00086D40">
        <w:rPr>
          <w:rFonts w:ascii="Times New Roman" w:hAnsi="Times New Roman" w:cs="Times New Roman"/>
          <w:sz w:val="20"/>
          <w:szCs w:val="20"/>
        </w:rPr>
        <w:tab/>
        <w:t>Principi nutritivi e Bilancio di Energia. Carboidrati, lipidi e proteine.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lastRenderedPageBreak/>
        <w:t>1.4.2</w:t>
      </w:r>
      <w:r w:rsidRPr="00086D40">
        <w:rPr>
          <w:rFonts w:ascii="Times New Roman" w:hAnsi="Times New Roman" w:cs="Times New Roman"/>
          <w:sz w:val="20"/>
          <w:szCs w:val="20"/>
        </w:rPr>
        <w:tab/>
        <w:t>Metabolismo delle proteine, carboidrati e lipidi (cenni). Adattamento metabolico al digiuno.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1.4.3</w:t>
      </w:r>
      <w:r w:rsidRPr="00086D40">
        <w:rPr>
          <w:rFonts w:ascii="Times New Roman" w:hAnsi="Times New Roman" w:cs="Times New Roman"/>
          <w:sz w:val="20"/>
          <w:szCs w:val="20"/>
        </w:rPr>
        <w:tab/>
        <w:t>Etanolo: da metabolita a tossico.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1.5.1</w:t>
      </w:r>
      <w:r w:rsidRPr="00086D40">
        <w:rPr>
          <w:rFonts w:ascii="Times New Roman" w:hAnsi="Times New Roman" w:cs="Times New Roman"/>
          <w:sz w:val="20"/>
          <w:szCs w:val="20"/>
        </w:rPr>
        <w:tab/>
        <w:t>Metabolismo idrico-salino (sodio, potassio, cloro).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1.5.2</w:t>
      </w:r>
      <w:r w:rsidRPr="00086D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Macrominerali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 (calcio, fosforo, magnesio, zolfo). Funzione e metabolismo.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1.5.3</w:t>
      </w:r>
      <w:r w:rsidRPr="00086D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Microminerali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 (ferro, rame, zinco, iodio). Oligominerali (selenio). Funzione e metabolismo.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1.6.1</w:t>
      </w:r>
      <w:r w:rsidRPr="00086D40">
        <w:rPr>
          <w:rFonts w:ascii="Times New Roman" w:hAnsi="Times New Roman" w:cs="Times New Roman"/>
          <w:sz w:val="20"/>
          <w:szCs w:val="20"/>
        </w:rPr>
        <w:tab/>
        <w:t>Vitamine Idrosolubili (Complesso B: B1, B2, B3, B5, B8, B9 o Acido Folico, B12, Vitamina C).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1.6.2</w:t>
      </w:r>
      <w:r w:rsidRPr="00086D40">
        <w:rPr>
          <w:rFonts w:ascii="Times New Roman" w:hAnsi="Times New Roman" w:cs="Times New Roman"/>
          <w:sz w:val="20"/>
          <w:szCs w:val="20"/>
        </w:rPr>
        <w:tab/>
        <w:t xml:space="preserve">Vitamine Liposolubili (Vitamina A, D, E, K). Struttura, funzione e metabolismo.  Do 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1.6.3</w:t>
      </w:r>
      <w:r w:rsidRPr="00086D40">
        <w:rPr>
          <w:rFonts w:ascii="Times New Roman" w:hAnsi="Times New Roman" w:cs="Times New Roman"/>
          <w:sz w:val="20"/>
          <w:szCs w:val="20"/>
        </w:rPr>
        <w:tab/>
        <w:t xml:space="preserve">Vitamina F (Acidi Grassi Essenziali: Acido linoleico, acido linolenico, acido </w:t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arachidonico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Eicosanoidi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</w:p>
    <w:p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86D40">
        <w:rPr>
          <w:rFonts w:ascii="Times New Roman" w:hAnsi="Times New Roman" w:cs="Times New Roman"/>
          <w:i/>
          <w:sz w:val="20"/>
          <w:szCs w:val="20"/>
        </w:rPr>
        <w:t xml:space="preserve">Nutrizione per la Salute 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2.1.1</w:t>
      </w:r>
      <w:r w:rsidRPr="00AC642A">
        <w:rPr>
          <w:rFonts w:ascii="Times New Roman" w:hAnsi="Times New Roman" w:cs="Times New Roman"/>
          <w:sz w:val="20"/>
          <w:szCs w:val="20"/>
        </w:rPr>
        <w:tab/>
        <w:t>Nutrienti e Salute.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2.1.2</w:t>
      </w:r>
      <w:r w:rsidRPr="00AC642A">
        <w:rPr>
          <w:rFonts w:ascii="Times New Roman" w:hAnsi="Times New Roman" w:cs="Times New Roman"/>
          <w:sz w:val="20"/>
          <w:szCs w:val="20"/>
        </w:rPr>
        <w:tab/>
        <w:t>Nutraceutici: molecole utili alla vita.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2.1.3</w:t>
      </w:r>
      <w:r w:rsidRPr="00AC642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642A">
        <w:rPr>
          <w:rFonts w:ascii="Times New Roman" w:hAnsi="Times New Roman" w:cs="Times New Roman"/>
          <w:sz w:val="20"/>
          <w:szCs w:val="20"/>
        </w:rPr>
        <w:t>Farmalimenti</w:t>
      </w:r>
      <w:proofErr w:type="spellEnd"/>
      <w:r w:rsidRPr="00AC642A">
        <w:rPr>
          <w:rFonts w:ascii="Times New Roman" w:hAnsi="Times New Roman" w:cs="Times New Roman"/>
          <w:sz w:val="20"/>
          <w:szCs w:val="20"/>
        </w:rPr>
        <w:t xml:space="preserve"> o Alimenti funzionali: utili per la promozione della salute.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2.2.1</w:t>
      </w:r>
      <w:r w:rsidRPr="00AC642A">
        <w:rPr>
          <w:rFonts w:ascii="Times New Roman" w:hAnsi="Times New Roman" w:cs="Times New Roman"/>
          <w:sz w:val="20"/>
          <w:szCs w:val="20"/>
        </w:rPr>
        <w:tab/>
        <w:t>Alimentazione Sicura e Sicurezza alimentare.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2.3.1</w:t>
      </w:r>
      <w:r w:rsidRPr="00AC642A">
        <w:rPr>
          <w:rFonts w:ascii="Times New Roman" w:hAnsi="Times New Roman" w:cs="Times New Roman"/>
          <w:sz w:val="20"/>
          <w:szCs w:val="20"/>
        </w:rPr>
        <w:tab/>
        <w:t>Epidemiologia delle malattie nutrizionali in Italia e nel Mondo.</w:t>
      </w:r>
    </w:p>
    <w:p w:rsidR="00086D40" w:rsidRPr="00AC642A" w:rsidRDefault="00086D40" w:rsidP="00AC642A">
      <w:pPr>
        <w:spacing w:after="12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2.4.1</w:t>
      </w:r>
      <w:r w:rsidRPr="00AC642A">
        <w:rPr>
          <w:rFonts w:ascii="Times New Roman" w:hAnsi="Times New Roman" w:cs="Times New Roman"/>
          <w:sz w:val="20"/>
          <w:szCs w:val="20"/>
        </w:rPr>
        <w:tab/>
        <w:t>Malnutrizione calorica e proteico-calorica. Obesità. Il mondo delle diete dimagranti.</w:t>
      </w:r>
    </w:p>
    <w:p w:rsidR="00086D40" w:rsidRPr="00086D40" w:rsidRDefault="00AC642A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86D40" w:rsidRPr="00086D40">
        <w:rPr>
          <w:rFonts w:ascii="Times New Roman" w:hAnsi="Times New Roman" w:cs="Times New Roman"/>
          <w:i/>
          <w:sz w:val="20"/>
          <w:szCs w:val="20"/>
        </w:rPr>
        <w:t>Nutrizione nello Sport</w:t>
      </w:r>
    </w:p>
    <w:p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1.1.1</w:t>
      </w:r>
      <w:r w:rsidRPr="00AC642A">
        <w:rPr>
          <w:rFonts w:ascii="Times New Roman" w:hAnsi="Times New Roman" w:cs="Times New Roman"/>
          <w:sz w:val="20"/>
          <w:szCs w:val="20"/>
        </w:rPr>
        <w:tab/>
        <w:t>I Nutrienti: alla base della pratica fisica.</w:t>
      </w:r>
    </w:p>
    <w:p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1.2.1</w:t>
      </w:r>
      <w:r w:rsidRPr="00AC642A">
        <w:rPr>
          <w:rFonts w:ascii="Times New Roman" w:hAnsi="Times New Roman" w:cs="Times New Roman"/>
          <w:sz w:val="20"/>
          <w:szCs w:val="20"/>
        </w:rPr>
        <w:tab/>
        <w:t>Energia per l’Attività Fisica. Misure del Metabolismo Energetico. Costo Energetico dell’Esercizio.</w:t>
      </w:r>
    </w:p>
    <w:p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1.3.1</w:t>
      </w:r>
      <w:r w:rsidRPr="00AC642A">
        <w:rPr>
          <w:rFonts w:ascii="Times New Roman" w:hAnsi="Times New Roman" w:cs="Times New Roman"/>
          <w:sz w:val="20"/>
          <w:szCs w:val="20"/>
        </w:rPr>
        <w:tab/>
        <w:t>Composizione Corporea (definizione e metodi di determinazione).</w:t>
      </w:r>
    </w:p>
    <w:p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1.3.2</w:t>
      </w:r>
      <w:r w:rsidRPr="00AC642A">
        <w:rPr>
          <w:rFonts w:ascii="Times New Roman" w:hAnsi="Times New Roman" w:cs="Times New Roman"/>
          <w:sz w:val="20"/>
          <w:szCs w:val="20"/>
        </w:rPr>
        <w:tab/>
        <w:t>Composizione Corporea e Salute: fra Corretta Alimentazione e Regolare Attività fisica.</w:t>
      </w:r>
    </w:p>
    <w:p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1.4.1</w:t>
      </w:r>
      <w:r w:rsidRPr="00AC642A">
        <w:rPr>
          <w:rFonts w:ascii="Times New Roman" w:hAnsi="Times New Roman" w:cs="Times New Roman"/>
          <w:sz w:val="20"/>
          <w:szCs w:val="20"/>
        </w:rPr>
        <w:tab/>
        <w:t>Strategie Nutrizionali nell’Evento sportivo (prima-durante-dopo la prestazione fisica/allenamento).</w:t>
      </w:r>
    </w:p>
    <w:p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1.4.2</w:t>
      </w:r>
      <w:r w:rsidRPr="00AC642A">
        <w:rPr>
          <w:rFonts w:ascii="Times New Roman" w:hAnsi="Times New Roman" w:cs="Times New Roman"/>
          <w:sz w:val="20"/>
          <w:szCs w:val="20"/>
        </w:rPr>
        <w:tab/>
        <w:t>Strategie Alimentari per recuperare la corretta composizione corporea.</w:t>
      </w:r>
    </w:p>
    <w:p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1.4.3</w:t>
      </w:r>
      <w:r w:rsidRPr="00AC642A">
        <w:rPr>
          <w:rFonts w:ascii="Times New Roman" w:hAnsi="Times New Roman" w:cs="Times New Roman"/>
          <w:sz w:val="20"/>
          <w:szCs w:val="20"/>
        </w:rPr>
        <w:tab/>
        <w:t xml:space="preserve">Strategie Dietetico nutrizionali in condizioni particolari (alterazioni ormonali, menopausa, </w:t>
      </w:r>
      <w:proofErr w:type="spellStart"/>
      <w:r w:rsidRPr="00AC642A">
        <w:rPr>
          <w:rFonts w:ascii="Times New Roman" w:hAnsi="Times New Roman" w:cs="Times New Roman"/>
          <w:sz w:val="20"/>
          <w:szCs w:val="20"/>
        </w:rPr>
        <w:t>vegetarianesimo</w:t>
      </w:r>
      <w:proofErr w:type="spellEnd"/>
      <w:r w:rsidRPr="00AC642A">
        <w:rPr>
          <w:rFonts w:ascii="Times New Roman" w:hAnsi="Times New Roman" w:cs="Times New Roman"/>
          <w:sz w:val="20"/>
          <w:szCs w:val="20"/>
        </w:rPr>
        <w:t>).</w:t>
      </w:r>
    </w:p>
    <w:p w:rsidR="00EC43C3" w:rsidRPr="00B4604B" w:rsidRDefault="00EC43C3" w:rsidP="00086D40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BIBLIOGRAFIA</w:t>
      </w:r>
      <w:r w:rsidR="00802A49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2"/>
      </w:r>
    </w:p>
    <w:p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L’alimentazione per lo sportivo, Il Pensiero Scientifico Editore, Roma, 2020</w:t>
      </w:r>
      <w:r w:rsidR="00802A49">
        <w:rPr>
          <w:rFonts w:ascii="Times" w:eastAsia="Times New Roman" w:hAnsi="Times" w:cs="Times New Roman"/>
          <w:noProof/>
          <w:sz w:val="18"/>
          <w:szCs w:val="20"/>
        </w:rPr>
        <w:t xml:space="preserve"> </w:t>
      </w:r>
      <w:hyperlink r:id="rId9" w:history="1">
        <w:r w:rsidR="00802A49" w:rsidRPr="00802A49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lastRenderedPageBreak/>
        <w:t>Giacinto AD.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La Nutrizione nelle Malattie del Metabolismo, Il Pensiero Scientifico Editore, Roma, 2017.</w:t>
      </w:r>
      <w:r w:rsidR="00802A49">
        <w:rPr>
          <w:rFonts w:ascii="Times" w:eastAsia="Times New Roman" w:hAnsi="Times" w:cs="Times New Roman"/>
          <w:noProof/>
          <w:sz w:val="18"/>
          <w:szCs w:val="20"/>
        </w:rPr>
        <w:t xml:space="preserve"> </w:t>
      </w:r>
      <w:hyperlink r:id="rId10" w:history="1">
        <w:r w:rsidR="00802A49" w:rsidRPr="00802A49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Società Editrice Universo, Roma, 2016.</w:t>
      </w:r>
    </w:p>
    <w:p w:rsid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Società Editrice Universo, Roma, 2002.</w:t>
      </w:r>
    </w:p>
    <w:p w:rsidR="00EC43C3" w:rsidRPr="00EC43C3" w:rsidRDefault="00EC43C3" w:rsidP="00AC642A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DIDATTICA DEL CORSO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- Knowledge and understanding (Dublino 1)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Le lezioni frontali costituiscono il corpo principale dei metodi didattici del corso. Durante le lezioni vengono sviluppate le tematiche inerenti al programma per il conseguimento delle conoscenze e della capacità di comprensione indicate negli obiettivi formativi specifici del corso (attraverso la presentazione di casi clinici interattivi e di slides da discutere.)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applicate – Applying knowledge and understanding (Dublino 2)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Durante le lezioni vengono costantemente forniti esempi pratici per consentire agli studenti di applicare le conoscenze e le capacità di comprensione nelle situazioni indicate negli obiettivi formativi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Autonomia di giudizio - Making judgements (Dublino 3)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 xml:space="preserve">L’autonomia di giudizio sarà favorita attraverso indicazioni e spunti relativi a percorsi e protocolli indicati negli obiettivi formativi e stimoli all’approfondimento personale dei contenuti delle lezioni 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Abilità comunicative – Communication skills (Dublino 4)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I metodi didattici utilizzati consentono agli studenti di acquisire una terminologia appropriata attraverso la discussione dei casi preparati.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Capacità di apprendere – Learning skills (Dublino 5):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La trattazione critica degli argomenti e la impostazione “per problemi” favorisce il conseguimento di autonomia di giudizio e accresce il desiderio di approfondimento personale utili al proseguimento degli studi e alla formazione permanente e ricorrente.</w:t>
      </w:r>
    </w:p>
    <w:p w:rsidR="00EC43C3" w:rsidRPr="00EC43C3" w:rsidRDefault="00EC43C3" w:rsidP="00EC43C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EC43C3" w:rsidRPr="00DA0C3E" w:rsidRDefault="00EC43C3" w:rsidP="00EC43C3">
      <w:pPr>
        <w:pStyle w:val="Testo2"/>
      </w:pPr>
      <w:r w:rsidRPr="00DA0C3E">
        <w:t>Per accertare la preparazione del candidato e per il superamento della prova occorre rispondere a quiz a scelta multipla su argomenti della materia, previsti nel programma. La commissione di esame può prevedere, se necessario, una o più prove scritte o una prova orale in aggiunta o sostituzione della prova a quiz. Lo studente si deve attenere per il superamento della prova di esame a quanto previsto dalla procedura ufficiale.</w:t>
      </w:r>
    </w:p>
    <w:p w:rsidR="00EC43C3" w:rsidRPr="00EC43C3" w:rsidRDefault="00EC43C3" w:rsidP="00EC43C3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D363FF" w:rsidRPr="00DA0C3E" w:rsidRDefault="00D363FF" w:rsidP="00D363FF">
      <w:pPr>
        <w:pStyle w:val="Testo2"/>
      </w:pPr>
      <w:r w:rsidRPr="00DA0C3E">
        <w:rPr>
          <w:rFonts w:eastAsia="Arial Unicode MS"/>
        </w:rPr>
        <w:t>Ulteriori informazioni possono essere trovate sul sito</w:t>
      </w:r>
      <w:r w:rsidRPr="00DA0C3E">
        <w:t xml:space="preserve"> http://www.unicatt.it.</w:t>
      </w:r>
    </w:p>
    <w:p w:rsidR="00D363FF" w:rsidRPr="00DA0C3E" w:rsidRDefault="00D363FF" w:rsidP="00D363FF">
      <w:pPr>
        <w:pStyle w:val="Testo2"/>
        <w:spacing w:before="120"/>
        <w:rPr>
          <w:i/>
        </w:rPr>
      </w:pPr>
      <w:r w:rsidRPr="00DA0C3E">
        <w:rPr>
          <w:i/>
        </w:rPr>
        <w:lastRenderedPageBreak/>
        <w:t>Orario e luogo di ricevimento</w:t>
      </w:r>
    </w:p>
    <w:p w:rsidR="00EC43C3" w:rsidRDefault="00D363FF" w:rsidP="00EC43C3">
      <w:pPr>
        <w:pStyle w:val="Testo2"/>
      </w:pPr>
      <w:r w:rsidRPr="00DA0C3E">
        <w:t>Il Prof. Giacinto Miggiano riceve gli studenti che lo desiderino dopo le lezioni nella s</w:t>
      </w:r>
      <w:r>
        <w:t>ala di attesa (sala professori).</w:t>
      </w:r>
    </w:p>
    <w:p w:rsidR="00086D40" w:rsidRDefault="00086D40" w:rsidP="00086D40">
      <w:pPr>
        <w:spacing w:before="120" w:after="0"/>
        <w:ind w:firstLine="284"/>
        <w:rPr>
          <w:rFonts w:ascii="Times New Roman" w:eastAsiaTheme="minorHAnsi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086D40" w:rsidRPr="00EC43C3" w:rsidRDefault="00086D40" w:rsidP="00EC43C3">
      <w:pPr>
        <w:pStyle w:val="Testo2"/>
      </w:pPr>
    </w:p>
    <w:sectPr w:rsidR="00086D40" w:rsidRPr="00EC43C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49" w:rsidRDefault="00802A49" w:rsidP="00802A49">
      <w:pPr>
        <w:spacing w:after="0" w:line="240" w:lineRule="auto"/>
      </w:pPr>
      <w:r>
        <w:separator/>
      </w:r>
    </w:p>
  </w:endnote>
  <w:endnote w:type="continuationSeparator" w:id="0">
    <w:p w:rsidR="00802A49" w:rsidRDefault="00802A49" w:rsidP="0080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49" w:rsidRDefault="00802A49" w:rsidP="00802A49">
      <w:pPr>
        <w:spacing w:after="0" w:line="240" w:lineRule="auto"/>
      </w:pPr>
      <w:r>
        <w:separator/>
      </w:r>
    </w:p>
  </w:footnote>
  <w:footnote w:type="continuationSeparator" w:id="0">
    <w:p w:rsidR="00802A49" w:rsidRDefault="00802A49" w:rsidP="00802A49">
      <w:pPr>
        <w:spacing w:after="0" w:line="240" w:lineRule="auto"/>
      </w:pPr>
      <w:r>
        <w:continuationSeparator/>
      </w:r>
    </w:p>
  </w:footnote>
  <w:footnote w:id="1">
    <w:p w:rsidR="00802A49" w:rsidRDefault="00802A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802A49" w:rsidRDefault="00802A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1">
    <w:nsid w:val="346B2D4F"/>
    <w:multiLevelType w:val="hybridMultilevel"/>
    <w:tmpl w:val="F536B266"/>
    <w:lvl w:ilvl="0" w:tplc="8AAE95A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472C"/>
    <w:multiLevelType w:val="hybridMultilevel"/>
    <w:tmpl w:val="23DA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46FA9"/>
    <w:multiLevelType w:val="hybridMultilevel"/>
    <w:tmpl w:val="D276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782"/>
    <w:multiLevelType w:val="hybridMultilevel"/>
    <w:tmpl w:val="806C1BD0"/>
    <w:lvl w:ilvl="0" w:tplc="7FF67568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57E55"/>
    <w:multiLevelType w:val="hybridMultilevel"/>
    <w:tmpl w:val="0518CCF8"/>
    <w:lvl w:ilvl="0" w:tplc="C3CA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6"/>
    <w:rsid w:val="00086D40"/>
    <w:rsid w:val="00187B99"/>
    <w:rsid w:val="002014DD"/>
    <w:rsid w:val="002D5E17"/>
    <w:rsid w:val="00452F08"/>
    <w:rsid w:val="004D1217"/>
    <w:rsid w:val="004D6008"/>
    <w:rsid w:val="005E5B96"/>
    <w:rsid w:val="00640794"/>
    <w:rsid w:val="006F1772"/>
    <w:rsid w:val="008015C0"/>
    <w:rsid w:val="00802A49"/>
    <w:rsid w:val="008942E7"/>
    <w:rsid w:val="008A1204"/>
    <w:rsid w:val="00900CCA"/>
    <w:rsid w:val="00924B77"/>
    <w:rsid w:val="00940DA2"/>
    <w:rsid w:val="009E055C"/>
    <w:rsid w:val="00A74225"/>
    <w:rsid w:val="00A74F6F"/>
    <w:rsid w:val="00AC642A"/>
    <w:rsid w:val="00AD7557"/>
    <w:rsid w:val="00B4604B"/>
    <w:rsid w:val="00B50C5D"/>
    <w:rsid w:val="00B51253"/>
    <w:rsid w:val="00B525CC"/>
    <w:rsid w:val="00D363FF"/>
    <w:rsid w:val="00D404F2"/>
    <w:rsid w:val="00E607E6"/>
    <w:rsid w:val="00EC43C3"/>
    <w:rsid w:val="00F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642A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5E5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E5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E5B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02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2A49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802A49"/>
    <w:rPr>
      <w:vertAlign w:val="superscript"/>
    </w:rPr>
  </w:style>
  <w:style w:type="character" w:styleId="Collegamentoipertestuale">
    <w:name w:val="Hyperlink"/>
    <w:basedOn w:val="Carpredefinitoparagrafo"/>
    <w:rsid w:val="00802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642A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5E5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E5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E5B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02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2A49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802A49"/>
    <w:rPr>
      <w:vertAlign w:val="superscript"/>
    </w:rPr>
  </w:style>
  <w:style w:type="character" w:styleId="Collegamentoipertestuale">
    <w:name w:val="Hyperlink"/>
    <w:basedOn w:val="Carpredefinitoparagrafo"/>
    <w:rsid w:val="00802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acinto-a-miggiano/la-nutrizione-nelle-malattie-del-metabolismo-una-guida-per-la-prevenzione-e-la-terapia-9788849005578-6836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acinto-a-miggiano/lalimentazione-per-lo-sportivo-9788849006698-6840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85E7-C5F1-4F7E-9CB8-6CDA73CC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20</TotalTime>
  <Pages>7</Pages>
  <Words>1691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2020-05-19T15:22:00Z</dcterms:created>
  <dcterms:modified xsi:type="dcterms:W3CDTF">2020-07-01T09:39:00Z</dcterms:modified>
</cp:coreProperties>
</file>