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C074" w14:textId="77777777" w:rsidR="00233724" w:rsidRPr="006178FC" w:rsidRDefault="00233724" w:rsidP="00233724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szCs w:val="20"/>
          <w:lang w:val="en-GB"/>
        </w:rPr>
      </w:pPr>
      <w:r w:rsidRPr="006178FC">
        <w:rPr>
          <w:rFonts w:ascii="Times" w:hAnsi="Times"/>
          <w:b/>
          <w:szCs w:val="20"/>
          <w:lang w:val="en-GB"/>
        </w:rPr>
        <w:t>Insurance law and regulation</w:t>
      </w:r>
    </w:p>
    <w:p w14:paraId="3B1C1202" w14:textId="4157063C" w:rsidR="003149D4" w:rsidRPr="000A06F1" w:rsidRDefault="003149D4" w:rsidP="003149D4">
      <w:pPr>
        <w:pStyle w:val="Titolo2"/>
        <w:rPr>
          <w:szCs w:val="18"/>
          <w:lang w:val="en-US"/>
        </w:rPr>
      </w:pPr>
      <w:r w:rsidRPr="000A06F1">
        <w:rPr>
          <w:szCs w:val="18"/>
          <w:lang w:val="en-US"/>
        </w:rPr>
        <w:t xml:space="preserve">Prof. </w:t>
      </w:r>
      <w:r w:rsidR="00381383" w:rsidRPr="000A06F1">
        <w:rPr>
          <w:szCs w:val="18"/>
          <w:lang w:val="en-US"/>
        </w:rPr>
        <w:t>Danilo Semeghini; Prof. Enrico Restelli</w:t>
      </w:r>
    </w:p>
    <w:p w14:paraId="3EEBB7E9" w14:textId="285C4B3E" w:rsidR="003149D4" w:rsidRPr="000A06F1" w:rsidRDefault="003149D4" w:rsidP="003149D4">
      <w:pPr>
        <w:tabs>
          <w:tab w:val="clear" w:pos="284"/>
        </w:tabs>
        <w:spacing w:before="240" w:after="120" w:line="240" w:lineRule="auto"/>
        <w:jc w:val="left"/>
        <w:rPr>
          <w:b/>
          <w:bCs/>
          <w:sz w:val="18"/>
          <w:szCs w:val="18"/>
          <w:lang w:val="en-GB"/>
        </w:rPr>
      </w:pPr>
      <w:r w:rsidRPr="000A06F1">
        <w:rPr>
          <w:b/>
          <w:bCs/>
          <w:i/>
          <w:iCs/>
          <w:sz w:val="18"/>
          <w:szCs w:val="18"/>
          <w:lang w:val="en-GB"/>
        </w:rPr>
        <w:t xml:space="preserve">COURSE AIMS AND </w:t>
      </w:r>
      <w:r w:rsidR="003E2CA1">
        <w:rPr>
          <w:b/>
          <w:bCs/>
          <w:i/>
          <w:iCs/>
          <w:sz w:val="18"/>
          <w:szCs w:val="18"/>
          <w:lang w:val="en-GB"/>
        </w:rPr>
        <w:t>INTEND</w:t>
      </w:r>
      <w:r w:rsidRPr="000A06F1">
        <w:rPr>
          <w:b/>
          <w:bCs/>
          <w:i/>
          <w:iCs/>
          <w:sz w:val="18"/>
          <w:szCs w:val="18"/>
          <w:lang w:val="en-GB"/>
        </w:rPr>
        <w:t xml:space="preserve">ED LEARNING OUTCOMES </w:t>
      </w:r>
    </w:p>
    <w:p w14:paraId="2F4D225B" w14:textId="350D9380" w:rsidR="009F61A2" w:rsidRDefault="00233724" w:rsidP="000A06F1">
      <w:pPr>
        <w:ind w:firstLine="284"/>
        <w:rPr>
          <w:rFonts w:ascii="Times" w:hAnsi="Times"/>
          <w:sz w:val="18"/>
          <w:szCs w:val="18"/>
          <w:lang w:val="en-GB"/>
        </w:rPr>
      </w:pPr>
      <w:r w:rsidRPr="000A06F1">
        <w:rPr>
          <w:rFonts w:ascii="Times" w:hAnsi="Times"/>
          <w:sz w:val="18"/>
          <w:szCs w:val="18"/>
          <w:lang w:val="en-GB"/>
        </w:rPr>
        <w:t xml:space="preserve">The </w:t>
      </w:r>
      <w:r w:rsidR="00750E47">
        <w:rPr>
          <w:rFonts w:ascii="Times" w:hAnsi="Times"/>
          <w:sz w:val="18"/>
          <w:szCs w:val="18"/>
          <w:lang w:val="en-GB"/>
        </w:rPr>
        <w:t xml:space="preserve">course aims at </w:t>
      </w:r>
      <w:r w:rsidR="009F61A2">
        <w:rPr>
          <w:rFonts w:ascii="Times" w:hAnsi="Times"/>
          <w:sz w:val="18"/>
          <w:szCs w:val="18"/>
          <w:lang w:val="en-GB"/>
        </w:rPr>
        <w:t xml:space="preserve">enabling students </w:t>
      </w:r>
      <w:r w:rsidR="009F61A2" w:rsidRPr="009F61A2">
        <w:rPr>
          <w:rFonts w:ascii="Times" w:hAnsi="Times"/>
          <w:sz w:val="18"/>
          <w:szCs w:val="18"/>
          <w:lang w:val="en-GB"/>
        </w:rPr>
        <w:t>to orientate in the legal landscape surrounding the insurance business and to grasp the practical implications of its laws and regulations.</w:t>
      </w:r>
    </w:p>
    <w:p w14:paraId="26DBBA91" w14:textId="60F9F68E" w:rsidR="003011BD" w:rsidRDefault="00DD1D89" w:rsidP="009F61A2">
      <w:pPr>
        <w:ind w:firstLine="284"/>
        <w:rPr>
          <w:rFonts w:ascii="Times" w:hAnsi="Times"/>
          <w:sz w:val="18"/>
          <w:szCs w:val="18"/>
          <w:lang w:val="en-GB"/>
        </w:rPr>
      </w:pPr>
      <w:r>
        <w:rPr>
          <w:rFonts w:ascii="Times" w:hAnsi="Times"/>
          <w:sz w:val="18"/>
          <w:szCs w:val="18"/>
          <w:lang w:val="en-GB"/>
        </w:rPr>
        <w:t xml:space="preserve">To this end, after </w:t>
      </w:r>
      <w:r w:rsidR="009F61A2">
        <w:rPr>
          <w:rFonts w:ascii="Times" w:hAnsi="Times"/>
          <w:sz w:val="18"/>
          <w:szCs w:val="18"/>
          <w:lang w:val="en-GB"/>
        </w:rPr>
        <w:t xml:space="preserve">the first part of the course, students will have acquired </w:t>
      </w:r>
      <w:r w:rsidR="00750E47">
        <w:rPr>
          <w:rFonts w:ascii="Times" w:hAnsi="Times"/>
          <w:sz w:val="18"/>
          <w:szCs w:val="18"/>
          <w:lang w:val="en-GB"/>
        </w:rPr>
        <w:t xml:space="preserve">key reference points and analytical </w:t>
      </w:r>
      <w:r w:rsidR="00A66E8F">
        <w:rPr>
          <w:rFonts w:ascii="Times" w:hAnsi="Times"/>
          <w:sz w:val="18"/>
          <w:szCs w:val="18"/>
          <w:lang w:val="en-GB"/>
        </w:rPr>
        <w:t>categories</w:t>
      </w:r>
      <w:r w:rsidR="00750E47">
        <w:rPr>
          <w:rFonts w:ascii="Times" w:hAnsi="Times"/>
          <w:sz w:val="18"/>
          <w:szCs w:val="18"/>
          <w:lang w:val="en-GB"/>
        </w:rPr>
        <w:t xml:space="preserve"> </w:t>
      </w:r>
      <w:r w:rsidR="00034EFF">
        <w:rPr>
          <w:rFonts w:ascii="Times" w:hAnsi="Times"/>
          <w:sz w:val="18"/>
          <w:szCs w:val="18"/>
          <w:lang w:val="en-GB"/>
        </w:rPr>
        <w:t>deriving from:</w:t>
      </w:r>
      <w:r w:rsidR="009F61A2">
        <w:rPr>
          <w:rFonts w:ascii="Times" w:hAnsi="Times"/>
          <w:sz w:val="18"/>
          <w:szCs w:val="18"/>
          <w:lang w:val="en-GB"/>
        </w:rPr>
        <w:t xml:space="preserve"> </w:t>
      </w:r>
      <w:r>
        <w:rPr>
          <w:rFonts w:ascii="Times" w:hAnsi="Times"/>
          <w:sz w:val="18"/>
          <w:szCs w:val="18"/>
          <w:lang w:val="en-GB"/>
        </w:rPr>
        <w:t>a critical analysis of</w:t>
      </w:r>
      <w:r w:rsidR="009F61A2">
        <w:rPr>
          <w:rFonts w:ascii="Times" w:hAnsi="Times"/>
          <w:sz w:val="18"/>
          <w:szCs w:val="18"/>
          <w:lang w:val="en-GB"/>
        </w:rPr>
        <w:t xml:space="preserve"> the economic </w:t>
      </w:r>
      <w:r w:rsidR="00034EFF">
        <w:rPr>
          <w:rFonts w:ascii="Times" w:hAnsi="Times"/>
          <w:sz w:val="18"/>
          <w:szCs w:val="18"/>
          <w:lang w:val="en-GB"/>
        </w:rPr>
        <w:t xml:space="preserve">and other concurring </w:t>
      </w:r>
      <w:r w:rsidR="009F61A2">
        <w:rPr>
          <w:rFonts w:ascii="Times" w:hAnsi="Times"/>
          <w:sz w:val="18"/>
          <w:szCs w:val="18"/>
          <w:lang w:val="en-GB"/>
        </w:rPr>
        <w:t xml:space="preserve">rationales </w:t>
      </w:r>
      <w:r w:rsidR="00034EFF">
        <w:rPr>
          <w:rFonts w:ascii="Times" w:hAnsi="Times"/>
          <w:sz w:val="18"/>
          <w:szCs w:val="18"/>
          <w:lang w:val="en-GB"/>
        </w:rPr>
        <w:t xml:space="preserve">of insurance law and regulation; </w:t>
      </w:r>
      <w:r>
        <w:rPr>
          <w:rFonts w:ascii="Times" w:hAnsi="Times"/>
          <w:sz w:val="18"/>
          <w:szCs w:val="18"/>
          <w:lang w:val="en-GB"/>
        </w:rPr>
        <w:t xml:space="preserve">an exploration of the </w:t>
      </w:r>
      <w:proofErr w:type="spellStart"/>
      <w:r>
        <w:rPr>
          <w:rFonts w:ascii="Times" w:hAnsi="Times"/>
          <w:sz w:val="18"/>
          <w:szCs w:val="18"/>
          <w:lang w:val="en-GB"/>
        </w:rPr>
        <w:t>behavioral</w:t>
      </w:r>
      <w:proofErr w:type="spellEnd"/>
      <w:r>
        <w:rPr>
          <w:rFonts w:ascii="Times" w:hAnsi="Times"/>
          <w:sz w:val="18"/>
          <w:szCs w:val="18"/>
          <w:lang w:val="en-GB"/>
        </w:rPr>
        <w:t xml:space="preserve"> and empirical complexities emerging </w:t>
      </w:r>
      <w:r w:rsidRPr="00523597">
        <w:rPr>
          <w:rFonts w:ascii="Times" w:hAnsi="Times"/>
          <w:sz w:val="18"/>
          <w:szCs w:val="18"/>
          <w:lang w:val="en-US"/>
        </w:rPr>
        <w:t>from</w:t>
      </w:r>
      <w:r>
        <w:rPr>
          <w:rFonts w:ascii="Times" w:hAnsi="Times"/>
          <w:sz w:val="18"/>
          <w:szCs w:val="18"/>
          <w:lang w:val="en-GB"/>
        </w:rPr>
        <w:t xml:space="preserve"> the insurance practice in relation to those rationales; an </w:t>
      </w:r>
      <w:r w:rsidR="00523597">
        <w:rPr>
          <w:rFonts w:ascii="Times" w:hAnsi="Times"/>
          <w:sz w:val="18"/>
          <w:szCs w:val="18"/>
          <w:lang w:val="en-GB"/>
        </w:rPr>
        <w:t>outline</w:t>
      </w:r>
      <w:r>
        <w:rPr>
          <w:rFonts w:ascii="Times" w:hAnsi="Times"/>
          <w:sz w:val="18"/>
          <w:szCs w:val="18"/>
          <w:lang w:val="en-GB"/>
        </w:rPr>
        <w:t xml:space="preserve"> of the main technical and institutional features of insurance law and regulation in the EU, within </w:t>
      </w:r>
      <w:r w:rsidR="00E7635B">
        <w:rPr>
          <w:rFonts w:ascii="Times" w:hAnsi="Times"/>
          <w:sz w:val="18"/>
          <w:szCs w:val="18"/>
          <w:lang w:val="en-GB"/>
        </w:rPr>
        <w:t>the</w:t>
      </w:r>
      <w:r>
        <w:rPr>
          <w:rFonts w:ascii="Times" w:hAnsi="Times"/>
          <w:sz w:val="18"/>
          <w:szCs w:val="18"/>
          <w:lang w:val="en-GB"/>
        </w:rPr>
        <w:t xml:space="preserve"> international horizon; a summary of the main contents and perspectives </w:t>
      </w:r>
      <w:r w:rsidR="006178FC">
        <w:rPr>
          <w:rFonts w:ascii="Times" w:hAnsi="Times"/>
          <w:sz w:val="18"/>
          <w:szCs w:val="18"/>
          <w:lang w:val="en-GB"/>
        </w:rPr>
        <w:t>of the laws and regulations regarding insurance firms, distributors and contracts.</w:t>
      </w:r>
    </w:p>
    <w:p w14:paraId="3A4294AD" w14:textId="2B82DE1E" w:rsidR="00A66E8F" w:rsidRDefault="003011BD" w:rsidP="009F61A2">
      <w:pPr>
        <w:ind w:firstLine="284"/>
        <w:rPr>
          <w:rFonts w:ascii="Times" w:hAnsi="Times"/>
          <w:sz w:val="18"/>
          <w:szCs w:val="18"/>
          <w:lang w:val="en-GB"/>
        </w:rPr>
      </w:pPr>
      <w:r>
        <w:rPr>
          <w:rFonts w:ascii="Times" w:hAnsi="Times"/>
          <w:sz w:val="18"/>
          <w:szCs w:val="18"/>
          <w:lang w:val="en-GB"/>
        </w:rPr>
        <w:t>After</w:t>
      </w:r>
      <w:r w:rsidR="006178FC">
        <w:rPr>
          <w:rFonts w:ascii="Times" w:hAnsi="Times"/>
          <w:sz w:val="18"/>
          <w:szCs w:val="18"/>
          <w:lang w:val="en-GB"/>
        </w:rPr>
        <w:t xml:space="preserve"> the second part, students will </w:t>
      </w:r>
      <w:r>
        <w:rPr>
          <w:rFonts w:ascii="Times" w:hAnsi="Times"/>
          <w:sz w:val="18"/>
          <w:szCs w:val="18"/>
          <w:lang w:val="en-GB"/>
        </w:rPr>
        <w:t xml:space="preserve">have consolidated this set of knowledge and </w:t>
      </w:r>
      <w:r w:rsidR="00A66E8F">
        <w:rPr>
          <w:rFonts w:ascii="Times" w:hAnsi="Times"/>
          <w:sz w:val="18"/>
          <w:szCs w:val="18"/>
          <w:lang w:val="en-GB"/>
        </w:rPr>
        <w:t xml:space="preserve">analytical </w:t>
      </w:r>
      <w:r>
        <w:rPr>
          <w:rFonts w:ascii="Times" w:hAnsi="Times"/>
          <w:sz w:val="18"/>
          <w:szCs w:val="18"/>
          <w:lang w:val="en-GB"/>
        </w:rPr>
        <w:t>tool</w:t>
      </w:r>
      <w:r w:rsidR="00A66E8F">
        <w:rPr>
          <w:rFonts w:ascii="Times" w:hAnsi="Times"/>
          <w:sz w:val="18"/>
          <w:szCs w:val="18"/>
          <w:lang w:val="en-GB"/>
        </w:rPr>
        <w:t>s</w:t>
      </w:r>
      <w:r>
        <w:rPr>
          <w:rFonts w:ascii="Times" w:hAnsi="Times"/>
          <w:sz w:val="18"/>
          <w:szCs w:val="18"/>
          <w:lang w:val="en-GB"/>
        </w:rPr>
        <w:t xml:space="preserve"> </w:t>
      </w:r>
      <w:r w:rsidR="00523597">
        <w:rPr>
          <w:rFonts w:ascii="Times" w:hAnsi="Times"/>
          <w:sz w:val="18"/>
          <w:szCs w:val="18"/>
          <w:lang w:val="en-GB"/>
        </w:rPr>
        <w:t>by</w:t>
      </w:r>
      <w:r>
        <w:rPr>
          <w:rFonts w:ascii="Times" w:hAnsi="Times"/>
          <w:sz w:val="18"/>
          <w:szCs w:val="18"/>
          <w:lang w:val="en-GB"/>
        </w:rPr>
        <w:t>:</w:t>
      </w:r>
      <w:r w:rsidR="00523597">
        <w:rPr>
          <w:rFonts w:ascii="Times" w:hAnsi="Times"/>
          <w:sz w:val="18"/>
          <w:szCs w:val="18"/>
          <w:lang w:val="en-GB"/>
        </w:rPr>
        <w:t xml:space="preserve"> a</w:t>
      </w:r>
      <w:r w:rsidR="00A66E8F">
        <w:rPr>
          <w:rFonts w:ascii="Times" w:hAnsi="Times"/>
          <w:sz w:val="18"/>
          <w:szCs w:val="18"/>
          <w:lang w:val="en-GB"/>
        </w:rPr>
        <w:t xml:space="preserve"> </w:t>
      </w:r>
      <w:r w:rsidR="00523597">
        <w:rPr>
          <w:rFonts w:ascii="Times" w:hAnsi="Times"/>
          <w:sz w:val="18"/>
          <w:szCs w:val="18"/>
          <w:lang w:val="en-GB"/>
        </w:rPr>
        <w:t xml:space="preserve">group </w:t>
      </w:r>
      <w:r w:rsidR="00A66E8F">
        <w:rPr>
          <w:rFonts w:ascii="Times" w:hAnsi="Times"/>
          <w:sz w:val="18"/>
          <w:szCs w:val="18"/>
          <w:lang w:val="en-GB"/>
        </w:rPr>
        <w:t xml:space="preserve">research </w:t>
      </w:r>
      <w:r w:rsidR="00E7635B">
        <w:rPr>
          <w:rFonts w:ascii="Times" w:hAnsi="Times"/>
          <w:sz w:val="18"/>
          <w:szCs w:val="18"/>
          <w:lang w:val="en-GB"/>
        </w:rPr>
        <w:t xml:space="preserve">and </w:t>
      </w:r>
      <w:r w:rsidR="00A66E8F">
        <w:rPr>
          <w:rFonts w:ascii="Times" w:hAnsi="Times"/>
          <w:sz w:val="18"/>
          <w:szCs w:val="18"/>
          <w:lang w:val="en-GB"/>
        </w:rPr>
        <w:t>present</w:t>
      </w:r>
      <w:r w:rsidR="00523597">
        <w:rPr>
          <w:rFonts w:ascii="Times" w:hAnsi="Times"/>
          <w:sz w:val="18"/>
          <w:szCs w:val="18"/>
          <w:lang w:val="en-GB"/>
        </w:rPr>
        <w:t>ation</w:t>
      </w:r>
      <w:r w:rsidR="00A66E8F">
        <w:rPr>
          <w:rFonts w:ascii="Times" w:hAnsi="Times"/>
          <w:sz w:val="18"/>
          <w:szCs w:val="18"/>
          <w:lang w:val="en-GB"/>
        </w:rPr>
        <w:t xml:space="preserve"> to the class </w:t>
      </w:r>
      <w:r w:rsidR="00523597">
        <w:rPr>
          <w:rFonts w:ascii="Times" w:hAnsi="Times"/>
          <w:sz w:val="18"/>
          <w:szCs w:val="18"/>
          <w:lang w:val="en-GB"/>
        </w:rPr>
        <w:t xml:space="preserve">on </w:t>
      </w:r>
      <w:r w:rsidR="00A66E8F">
        <w:rPr>
          <w:rFonts w:ascii="Times" w:hAnsi="Times"/>
          <w:sz w:val="18"/>
          <w:szCs w:val="18"/>
          <w:lang w:val="en-GB"/>
        </w:rPr>
        <w:t>a specific open issue of insurance law and economics;</w:t>
      </w:r>
      <w:r w:rsidR="00523597">
        <w:rPr>
          <w:rFonts w:ascii="Times" w:hAnsi="Times"/>
          <w:sz w:val="18"/>
          <w:szCs w:val="18"/>
          <w:lang w:val="en-GB"/>
        </w:rPr>
        <w:t xml:space="preserve"> class discussions of a wide range of insurance law and economics issues, presented by other groups.</w:t>
      </w:r>
    </w:p>
    <w:p w14:paraId="0660C503" w14:textId="77777777" w:rsidR="003149D4" w:rsidRPr="000A06F1" w:rsidRDefault="003149D4" w:rsidP="003149D4">
      <w:pPr>
        <w:spacing w:before="240" w:after="120"/>
        <w:rPr>
          <w:b/>
          <w:bCs/>
          <w:sz w:val="18"/>
          <w:szCs w:val="18"/>
          <w:lang w:val="en-GB"/>
        </w:rPr>
      </w:pPr>
      <w:r w:rsidRPr="000A06F1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3627CED3" w14:textId="35ED6B85" w:rsidR="00726F57" w:rsidRPr="000A06F1" w:rsidRDefault="00726F57" w:rsidP="00726F57">
      <w:pPr>
        <w:pStyle w:val="Paragrafoelenco"/>
        <w:numPr>
          <w:ilvl w:val="0"/>
          <w:numId w:val="3"/>
        </w:numPr>
        <w:ind w:left="284" w:hanging="284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The rationales of insurance law and regulation.</w:t>
      </w:r>
    </w:p>
    <w:p w14:paraId="08B975C7" w14:textId="585EE3E1" w:rsidR="00726F57" w:rsidRPr="000A06F1" w:rsidRDefault="00726F57" w:rsidP="00726F57">
      <w:pPr>
        <w:pStyle w:val="Paragrafoelenco"/>
        <w:numPr>
          <w:ilvl w:val="1"/>
          <w:numId w:val="3"/>
        </w:numPr>
        <w:ind w:left="567" w:hanging="283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The economic approach: market failures, transaction costs, behavioral and empirical analysis.</w:t>
      </w:r>
    </w:p>
    <w:p w14:paraId="23E068EC" w14:textId="4865F958" w:rsidR="00726F57" w:rsidRPr="000A06F1" w:rsidRDefault="00726F57" w:rsidP="00726F57">
      <w:pPr>
        <w:pStyle w:val="Paragrafoelenco"/>
        <w:numPr>
          <w:ilvl w:val="1"/>
          <w:numId w:val="3"/>
        </w:numPr>
        <w:ind w:left="567" w:hanging="283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Concurrent approaches: public choice and regulatory capture; commutative and distributive justice.</w:t>
      </w:r>
    </w:p>
    <w:p w14:paraId="6F0F2CBF" w14:textId="166FC09C" w:rsidR="00726F57" w:rsidRPr="000A06F1" w:rsidRDefault="00726F57" w:rsidP="00726F57">
      <w:pPr>
        <w:pStyle w:val="Paragrafoelenco"/>
        <w:numPr>
          <w:ilvl w:val="0"/>
          <w:numId w:val="3"/>
        </w:numPr>
        <w:ind w:left="284" w:hanging="284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The main features of EU insurance law and regulation.</w:t>
      </w:r>
    </w:p>
    <w:p w14:paraId="787C727E" w14:textId="399947D8" w:rsidR="00726F57" w:rsidRPr="000A06F1" w:rsidRDefault="00726F57" w:rsidP="00726F57">
      <w:pPr>
        <w:pStyle w:val="Paragrafoelenco"/>
        <w:numPr>
          <w:ilvl w:val="1"/>
          <w:numId w:val="3"/>
        </w:numPr>
        <w:ind w:left="567" w:hanging="283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Rules and standards</w:t>
      </w:r>
      <w:r w:rsidR="00DE2B54" w:rsidRPr="000A06F1">
        <w:rPr>
          <w:rFonts w:ascii="Times" w:eastAsia="Calibri" w:hAnsi="Times" w:cs="Times"/>
          <w:sz w:val="18"/>
          <w:szCs w:val="18"/>
          <w:lang w:val="en-US" w:eastAsia="en-US"/>
        </w:rPr>
        <w:t>; hard law and soft law.</w:t>
      </w:r>
    </w:p>
    <w:p w14:paraId="781DF2B2" w14:textId="4E42CA24" w:rsidR="00726F57" w:rsidRPr="000A06F1" w:rsidRDefault="00726F57" w:rsidP="00726F57">
      <w:pPr>
        <w:pStyle w:val="Paragrafoelenco"/>
        <w:numPr>
          <w:ilvl w:val="1"/>
          <w:numId w:val="3"/>
        </w:numPr>
        <w:ind w:left="567" w:hanging="283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The institutional structure and the evolution of EU insurance regulation</w:t>
      </w:r>
      <w:r w:rsidR="00DE2B54" w:rsidRPr="000A06F1">
        <w:rPr>
          <w:rFonts w:ascii="Times" w:eastAsia="Calibri" w:hAnsi="Times" w:cs="Times"/>
          <w:sz w:val="18"/>
          <w:szCs w:val="18"/>
          <w:lang w:val="en-US" w:eastAsia="en-US"/>
        </w:rPr>
        <w:t xml:space="preserve"> within the international landscape.</w:t>
      </w:r>
    </w:p>
    <w:p w14:paraId="490BB5BD" w14:textId="0B1B7093" w:rsidR="00726F57" w:rsidRPr="000A06F1" w:rsidRDefault="00DE2B54" w:rsidP="00726F57">
      <w:pPr>
        <w:pStyle w:val="Paragrafoelenco"/>
        <w:numPr>
          <w:ilvl w:val="1"/>
          <w:numId w:val="3"/>
        </w:numPr>
        <w:ind w:left="567" w:hanging="283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The evolution of insurance contract law across legal systems.</w:t>
      </w:r>
    </w:p>
    <w:p w14:paraId="0DAE6E37" w14:textId="33B00624" w:rsidR="00DE2B54" w:rsidRPr="000A06F1" w:rsidRDefault="00DE2B54" w:rsidP="00DE2B54">
      <w:pPr>
        <w:pStyle w:val="Paragrafoelenco"/>
        <w:numPr>
          <w:ilvl w:val="0"/>
          <w:numId w:val="3"/>
        </w:numPr>
        <w:ind w:left="284" w:hanging="284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Overview of the main areas of insurance law and regulation.</w:t>
      </w:r>
    </w:p>
    <w:p w14:paraId="26E36B92" w14:textId="6A28A0DC" w:rsidR="00DE2B54" w:rsidRPr="000A06F1" w:rsidRDefault="00DE2B54" w:rsidP="00DE2B54">
      <w:pPr>
        <w:pStyle w:val="Paragrafoelenco"/>
        <w:numPr>
          <w:ilvl w:val="1"/>
          <w:numId w:val="3"/>
        </w:numPr>
        <w:ind w:left="567" w:hanging="283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hAnsi="Times"/>
          <w:sz w:val="18"/>
          <w:szCs w:val="18"/>
          <w:lang w:val="en-GB"/>
        </w:rPr>
        <w:t>Insurance and reinsurance undertakings.</w:t>
      </w:r>
    </w:p>
    <w:p w14:paraId="3ED9DBE6" w14:textId="02E87457" w:rsidR="00DE2B54" w:rsidRPr="000A06F1" w:rsidRDefault="00DE2B54" w:rsidP="00DE2B54">
      <w:pPr>
        <w:pStyle w:val="Paragrafoelenco"/>
        <w:numPr>
          <w:ilvl w:val="1"/>
          <w:numId w:val="3"/>
        </w:numPr>
        <w:ind w:left="567" w:hanging="283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hAnsi="Times"/>
          <w:sz w:val="18"/>
          <w:szCs w:val="18"/>
          <w:lang w:val="en-GB"/>
        </w:rPr>
        <w:t>Insurance distribution.</w:t>
      </w:r>
    </w:p>
    <w:p w14:paraId="7AB44304" w14:textId="2AC3D83E" w:rsidR="00DE2B54" w:rsidRPr="000A06F1" w:rsidRDefault="00DE2B54" w:rsidP="00DE2B54">
      <w:pPr>
        <w:pStyle w:val="Paragrafoelenco"/>
        <w:numPr>
          <w:ilvl w:val="1"/>
          <w:numId w:val="3"/>
        </w:numPr>
        <w:ind w:left="567" w:hanging="283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hAnsi="Times"/>
          <w:sz w:val="18"/>
          <w:szCs w:val="18"/>
          <w:lang w:val="en-GB"/>
        </w:rPr>
        <w:t>Insurance contracts.</w:t>
      </w:r>
    </w:p>
    <w:p w14:paraId="0A0D5AE7" w14:textId="3D6516CE" w:rsidR="00DE2B54" w:rsidRPr="000A06F1" w:rsidRDefault="00DE2B54" w:rsidP="00DE2B54">
      <w:pPr>
        <w:pStyle w:val="Paragrafoelenco"/>
        <w:numPr>
          <w:ilvl w:val="0"/>
          <w:numId w:val="3"/>
        </w:numPr>
        <w:ind w:left="284" w:hanging="284"/>
        <w:jc w:val="left"/>
        <w:rPr>
          <w:rFonts w:ascii="Times" w:eastAsia="Calibri" w:hAnsi="Times" w:cs="Times"/>
          <w:sz w:val="18"/>
          <w:szCs w:val="18"/>
          <w:lang w:val="en-US" w:eastAsia="en-US"/>
        </w:rPr>
      </w:pPr>
      <w:r w:rsidRPr="000A06F1">
        <w:rPr>
          <w:rFonts w:ascii="Times" w:eastAsia="Calibri" w:hAnsi="Times" w:cs="Times"/>
          <w:sz w:val="18"/>
          <w:szCs w:val="18"/>
          <w:lang w:val="en-US" w:eastAsia="en-US"/>
        </w:rPr>
        <w:t>In-depth analysis of selected topics.</w:t>
      </w:r>
    </w:p>
    <w:p w14:paraId="186F773E" w14:textId="469085AC" w:rsidR="00712901" w:rsidRPr="000A06F1" w:rsidRDefault="003149D4" w:rsidP="003149D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0A06F1">
        <w:rPr>
          <w:b/>
          <w:bCs/>
          <w:i/>
          <w:iCs/>
          <w:sz w:val="18"/>
          <w:szCs w:val="18"/>
          <w:lang w:val="en-GB"/>
        </w:rPr>
        <w:lastRenderedPageBreak/>
        <w:t>READING LIST</w:t>
      </w:r>
      <w:r w:rsidR="00165805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073E357B" w14:textId="66A6C194" w:rsidR="00233724" w:rsidRPr="000A06F1" w:rsidRDefault="000A06F1" w:rsidP="00233724">
      <w:pPr>
        <w:tabs>
          <w:tab w:val="clear" w:pos="284"/>
        </w:tabs>
        <w:spacing w:line="220" w:lineRule="exact"/>
        <w:ind w:left="284"/>
        <w:rPr>
          <w:rFonts w:ascii="Times" w:hAnsi="Times"/>
          <w:noProof/>
          <w:sz w:val="18"/>
          <w:szCs w:val="18"/>
          <w:lang w:val="en-US"/>
        </w:rPr>
      </w:pPr>
      <w:r w:rsidRPr="000A06F1">
        <w:rPr>
          <w:rFonts w:ascii="Times" w:hAnsi="Times"/>
          <w:noProof/>
          <w:sz w:val="18"/>
          <w:szCs w:val="18"/>
          <w:lang w:val="en-US"/>
        </w:rPr>
        <w:t>For all students:</w:t>
      </w:r>
    </w:p>
    <w:p w14:paraId="68695B95" w14:textId="41402D2F" w:rsidR="00381383" w:rsidRPr="000A06F1" w:rsidRDefault="00381383" w:rsidP="00381383">
      <w:pPr>
        <w:pStyle w:val="Paragrafoelenco"/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18"/>
          <w:lang w:val="en-US"/>
        </w:rPr>
      </w:pPr>
      <w:r w:rsidRPr="00E7635B">
        <w:rPr>
          <w:rFonts w:ascii="Times" w:hAnsi="Times"/>
          <w:smallCaps/>
          <w:noProof/>
          <w:sz w:val="18"/>
          <w:szCs w:val="18"/>
          <w:lang w:val="en-US"/>
        </w:rPr>
        <w:t xml:space="preserve">D. Schwarcz </w:t>
      </w:r>
      <w:r w:rsidR="00736877" w:rsidRPr="00E7635B">
        <w:rPr>
          <w:rFonts w:ascii="Times" w:hAnsi="Times"/>
          <w:smallCaps/>
          <w:noProof/>
          <w:sz w:val="18"/>
          <w:szCs w:val="18"/>
          <w:lang w:val="en-US"/>
        </w:rPr>
        <w:t>-</w:t>
      </w:r>
      <w:r w:rsidRPr="00E7635B">
        <w:rPr>
          <w:rFonts w:ascii="Times" w:hAnsi="Times"/>
          <w:smallCaps/>
          <w:noProof/>
          <w:sz w:val="18"/>
          <w:szCs w:val="18"/>
          <w:lang w:val="en-US"/>
        </w:rPr>
        <w:t xml:space="preserve"> P. Siegelman</w:t>
      </w:r>
      <w:r w:rsidRPr="00E7635B">
        <w:rPr>
          <w:rFonts w:ascii="Times" w:hAnsi="Times"/>
          <w:noProof/>
          <w:sz w:val="18"/>
          <w:szCs w:val="18"/>
          <w:lang w:val="en-US"/>
        </w:rPr>
        <w:t xml:space="preserve">, </w:t>
      </w:r>
      <w:r w:rsidRPr="00E7635B">
        <w:rPr>
          <w:rFonts w:ascii="Times" w:hAnsi="Times"/>
          <w:i/>
          <w:iCs/>
          <w:noProof/>
          <w:sz w:val="18"/>
          <w:szCs w:val="18"/>
          <w:lang w:val="en-US"/>
        </w:rPr>
        <w:t>Law and Economics of Insurance</w:t>
      </w:r>
      <w:r w:rsidRPr="00E7635B">
        <w:rPr>
          <w:rFonts w:ascii="Times" w:hAnsi="Times"/>
          <w:noProof/>
          <w:sz w:val="18"/>
          <w:szCs w:val="18"/>
          <w:lang w:val="en-US"/>
        </w:rPr>
        <w:t xml:space="preserve">, in </w:t>
      </w:r>
      <w:r w:rsidRPr="00E7635B">
        <w:rPr>
          <w:rFonts w:ascii="Times" w:hAnsi="Times"/>
          <w:i/>
          <w:iCs/>
          <w:noProof/>
          <w:sz w:val="18"/>
          <w:szCs w:val="18"/>
          <w:lang w:val="en-US"/>
        </w:rPr>
        <w:t>The Oxford Handbook of Law and Economics: Volume 2: Private and Commercial Law</w:t>
      </w:r>
      <w:r w:rsidRPr="00E7635B">
        <w:rPr>
          <w:rFonts w:ascii="Times" w:hAnsi="Times"/>
          <w:noProof/>
          <w:sz w:val="18"/>
          <w:szCs w:val="18"/>
          <w:lang w:val="en-US"/>
        </w:rPr>
        <w:t>, edited by F</w:t>
      </w:r>
      <w:r w:rsidR="00BC0DCD" w:rsidRPr="00E7635B">
        <w:rPr>
          <w:rFonts w:ascii="Times" w:hAnsi="Times"/>
          <w:noProof/>
          <w:sz w:val="18"/>
          <w:szCs w:val="18"/>
          <w:lang w:val="en-US"/>
        </w:rPr>
        <w:t>.</w:t>
      </w:r>
      <w:r w:rsidRPr="00E7635B">
        <w:rPr>
          <w:rFonts w:ascii="Times" w:hAnsi="Times"/>
          <w:noProof/>
          <w:sz w:val="18"/>
          <w:szCs w:val="18"/>
          <w:lang w:val="en-US"/>
        </w:rPr>
        <w:t xml:space="preserve"> Parisi, OUP, 2017, pp. 481-508;</w:t>
      </w:r>
    </w:p>
    <w:p w14:paraId="7AD4E474" w14:textId="16597A9D" w:rsidR="00381383" w:rsidRPr="000A06F1" w:rsidRDefault="00381383" w:rsidP="00381383">
      <w:pPr>
        <w:pStyle w:val="Paragrafoelenco"/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18"/>
          <w:lang w:val="en-US"/>
        </w:rPr>
      </w:pPr>
      <w:r w:rsidRPr="00E7635B">
        <w:rPr>
          <w:rFonts w:ascii="Times" w:hAnsi="Times"/>
          <w:smallCaps/>
          <w:noProof/>
          <w:sz w:val="18"/>
          <w:szCs w:val="18"/>
          <w:lang w:val="en-US"/>
        </w:rPr>
        <w:t xml:space="preserve">T.Baker </w:t>
      </w:r>
      <w:r w:rsidR="00736877" w:rsidRPr="00E7635B">
        <w:rPr>
          <w:rFonts w:ascii="Times" w:hAnsi="Times"/>
          <w:smallCaps/>
          <w:noProof/>
          <w:sz w:val="18"/>
          <w:szCs w:val="18"/>
          <w:lang w:val="en-US"/>
        </w:rPr>
        <w:t>-</w:t>
      </w:r>
      <w:r w:rsidRPr="00E7635B">
        <w:rPr>
          <w:rFonts w:ascii="Times" w:hAnsi="Times"/>
          <w:smallCaps/>
          <w:noProof/>
          <w:sz w:val="18"/>
          <w:szCs w:val="18"/>
          <w:lang w:val="en-US"/>
        </w:rPr>
        <w:t xml:space="preserve"> P. Siegelman</w:t>
      </w:r>
      <w:r w:rsidRPr="00E7635B">
        <w:rPr>
          <w:rFonts w:ascii="Times" w:hAnsi="Times"/>
          <w:noProof/>
          <w:sz w:val="18"/>
          <w:szCs w:val="18"/>
          <w:lang w:val="en-US"/>
        </w:rPr>
        <w:t xml:space="preserve">, </w:t>
      </w:r>
      <w:r w:rsidRPr="00E7635B">
        <w:rPr>
          <w:rFonts w:ascii="Times" w:hAnsi="Times"/>
          <w:i/>
          <w:iCs/>
          <w:noProof/>
          <w:sz w:val="18"/>
          <w:szCs w:val="18"/>
          <w:lang w:val="en-US"/>
        </w:rPr>
        <w:t>Behavioral Economics and Insurance Law</w:t>
      </w:r>
      <w:r w:rsidRPr="00E7635B">
        <w:rPr>
          <w:rFonts w:ascii="Times" w:hAnsi="Times"/>
          <w:noProof/>
          <w:sz w:val="18"/>
          <w:szCs w:val="18"/>
          <w:lang w:val="en-US"/>
        </w:rPr>
        <w:t xml:space="preserve">, in </w:t>
      </w:r>
      <w:r w:rsidRPr="00E7635B">
        <w:rPr>
          <w:rFonts w:ascii="Times" w:hAnsi="Times"/>
          <w:i/>
          <w:iCs/>
          <w:noProof/>
          <w:sz w:val="18"/>
          <w:szCs w:val="18"/>
          <w:lang w:val="en-US"/>
        </w:rPr>
        <w:t>The Oxford Handbook of Behavioral Economics and the Law</w:t>
      </w:r>
      <w:r w:rsidRPr="00E7635B">
        <w:rPr>
          <w:rFonts w:ascii="Times" w:hAnsi="Times"/>
          <w:noProof/>
          <w:sz w:val="18"/>
          <w:szCs w:val="18"/>
          <w:lang w:val="en-US"/>
        </w:rPr>
        <w:t>, edited by E</w:t>
      </w:r>
      <w:r w:rsidR="00BC0DCD" w:rsidRPr="00E7635B">
        <w:rPr>
          <w:rFonts w:ascii="Times" w:hAnsi="Times"/>
          <w:noProof/>
          <w:sz w:val="18"/>
          <w:szCs w:val="18"/>
          <w:lang w:val="en-US"/>
        </w:rPr>
        <w:t>.</w:t>
      </w:r>
      <w:r w:rsidRPr="00E7635B">
        <w:rPr>
          <w:rFonts w:ascii="Times" w:hAnsi="Times"/>
          <w:noProof/>
          <w:sz w:val="18"/>
          <w:szCs w:val="18"/>
          <w:lang w:val="en-US"/>
        </w:rPr>
        <w:t xml:space="preserve"> Zamir and D</w:t>
      </w:r>
      <w:r w:rsidR="00BC0DCD" w:rsidRPr="00E7635B">
        <w:rPr>
          <w:rFonts w:ascii="Times" w:hAnsi="Times"/>
          <w:noProof/>
          <w:sz w:val="18"/>
          <w:szCs w:val="18"/>
          <w:lang w:val="en-US"/>
        </w:rPr>
        <w:t>.</w:t>
      </w:r>
      <w:r w:rsidRPr="00E7635B">
        <w:rPr>
          <w:rFonts w:ascii="Times" w:hAnsi="Times"/>
          <w:noProof/>
          <w:sz w:val="18"/>
          <w:szCs w:val="18"/>
          <w:lang w:val="en-US"/>
        </w:rPr>
        <w:t xml:space="preserve"> Teichman, OUP, 2014, pp. 491-517;</w:t>
      </w:r>
    </w:p>
    <w:p w14:paraId="40F434D9" w14:textId="7BD3D9D1" w:rsidR="00381383" w:rsidRPr="000A06F1" w:rsidRDefault="00381383" w:rsidP="00381383">
      <w:pPr>
        <w:pStyle w:val="Paragrafoelenco"/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18"/>
          <w:lang w:val="en-US"/>
        </w:rPr>
      </w:pPr>
      <w:r w:rsidRPr="00E7635B">
        <w:rPr>
          <w:rFonts w:ascii="Times" w:hAnsi="Times"/>
          <w:smallCaps/>
          <w:noProof/>
          <w:sz w:val="18"/>
          <w:szCs w:val="18"/>
          <w:lang w:val="en-US"/>
        </w:rPr>
        <w:t>S.A. Rea</w:t>
      </w:r>
      <w:r w:rsidR="00BC0DCD" w:rsidRPr="00E7635B">
        <w:rPr>
          <w:rFonts w:ascii="Times" w:hAnsi="Times"/>
          <w:smallCaps/>
          <w:noProof/>
          <w:sz w:val="18"/>
          <w:szCs w:val="18"/>
          <w:lang w:val="en-US"/>
        </w:rPr>
        <w:t xml:space="preserve"> </w:t>
      </w:r>
      <w:r w:rsidR="00BC0DCD" w:rsidRPr="00E7635B">
        <w:rPr>
          <w:rFonts w:ascii="Times" w:hAnsi="Times"/>
          <w:noProof/>
          <w:sz w:val="18"/>
          <w:szCs w:val="18"/>
          <w:lang w:val="en-US"/>
        </w:rPr>
        <w:t xml:space="preserve">jr, The Economics of Insurance Law, in 13 </w:t>
      </w:r>
      <w:r w:rsidR="00BC0DCD" w:rsidRPr="00E7635B">
        <w:rPr>
          <w:rFonts w:ascii="Times" w:hAnsi="Times"/>
          <w:i/>
          <w:iCs/>
          <w:noProof/>
          <w:sz w:val="18"/>
          <w:szCs w:val="18"/>
          <w:lang w:val="en-US"/>
        </w:rPr>
        <w:t>Int’l Rev. Law &amp; Econ.</w:t>
      </w:r>
      <w:r w:rsidR="00BC0DCD" w:rsidRPr="00E7635B">
        <w:rPr>
          <w:rFonts w:ascii="Times" w:hAnsi="Times"/>
          <w:noProof/>
          <w:sz w:val="18"/>
          <w:szCs w:val="18"/>
          <w:lang w:val="en-US"/>
        </w:rPr>
        <w:t xml:space="preserve"> </w:t>
      </w:r>
      <w:r w:rsidR="00BC0DCD" w:rsidRPr="000A06F1">
        <w:rPr>
          <w:rFonts w:ascii="Times" w:hAnsi="Times"/>
          <w:noProof/>
          <w:sz w:val="18"/>
          <w:szCs w:val="18"/>
        </w:rPr>
        <w:t>(1993), pp. 145-162;</w:t>
      </w:r>
    </w:p>
    <w:p w14:paraId="7E23C3D4" w14:textId="2F7E6450" w:rsidR="00BC0DCD" w:rsidRPr="000A06F1" w:rsidRDefault="00BC0DCD" w:rsidP="00BC0DCD">
      <w:pPr>
        <w:pStyle w:val="Paragrafoelenco"/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18"/>
          <w:lang w:val="en-US"/>
        </w:rPr>
      </w:pPr>
      <w:r w:rsidRPr="000A06F1">
        <w:rPr>
          <w:rFonts w:ascii="Times" w:hAnsi="Times"/>
          <w:smallCaps/>
          <w:noProof/>
          <w:sz w:val="18"/>
          <w:szCs w:val="18"/>
          <w:lang w:val="en-US"/>
        </w:rPr>
        <w:t>P. Marano</w:t>
      </w:r>
      <w:r w:rsidRPr="000A06F1">
        <w:rPr>
          <w:rFonts w:ascii="Times" w:hAnsi="Times"/>
          <w:noProof/>
          <w:sz w:val="18"/>
          <w:szCs w:val="18"/>
          <w:lang w:val="en-US"/>
        </w:rPr>
        <w:t xml:space="preserve">, </w:t>
      </w:r>
      <w:r w:rsidRPr="000A06F1">
        <w:rPr>
          <w:rFonts w:ascii="Times" w:hAnsi="Times"/>
          <w:i/>
          <w:iCs/>
          <w:noProof/>
          <w:sz w:val="18"/>
          <w:szCs w:val="18"/>
          <w:lang w:val="en-US"/>
        </w:rPr>
        <w:t>Sources and Tools of the Insurance Regulation in the European Union</w:t>
      </w:r>
      <w:r w:rsidRPr="000A06F1">
        <w:rPr>
          <w:rFonts w:ascii="Times" w:hAnsi="Times"/>
          <w:noProof/>
          <w:sz w:val="18"/>
          <w:szCs w:val="18"/>
          <w:lang w:val="en-US"/>
        </w:rPr>
        <w:t xml:space="preserve">, </w:t>
      </w:r>
      <w:bookmarkStart w:id="1" w:name="_Hlk44450034"/>
      <w:r w:rsidRPr="000A06F1">
        <w:rPr>
          <w:rFonts w:ascii="Times" w:hAnsi="Times"/>
          <w:noProof/>
          <w:sz w:val="18"/>
          <w:szCs w:val="18"/>
          <w:lang w:val="en-US"/>
        </w:rPr>
        <w:t xml:space="preserve">in </w:t>
      </w:r>
      <w:r w:rsidRPr="000A06F1">
        <w:rPr>
          <w:rFonts w:ascii="Times" w:hAnsi="Times"/>
          <w:i/>
          <w:iCs/>
          <w:noProof/>
          <w:sz w:val="18"/>
          <w:szCs w:val="18"/>
          <w:lang w:val="en-US"/>
        </w:rPr>
        <w:t>Insurance Regulation in the European Union</w:t>
      </w:r>
      <w:r w:rsidRPr="000A06F1">
        <w:rPr>
          <w:rFonts w:ascii="Times" w:hAnsi="Times"/>
          <w:noProof/>
          <w:sz w:val="18"/>
          <w:szCs w:val="18"/>
          <w:lang w:val="en-US"/>
        </w:rPr>
        <w:t>, edited by P. Marano and M. Siri, Palgrave Macmillan, 2017, pp. 5-</w:t>
      </w:r>
      <w:r w:rsidR="00736877" w:rsidRPr="000A06F1">
        <w:rPr>
          <w:rFonts w:ascii="Times" w:hAnsi="Times"/>
          <w:noProof/>
          <w:sz w:val="18"/>
          <w:szCs w:val="18"/>
          <w:lang w:val="en-US"/>
        </w:rPr>
        <w:t>29</w:t>
      </w:r>
      <w:bookmarkEnd w:id="1"/>
      <w:r w:rsidR="00736877" w:rsidRPr="000A06F1">
        <w:rPr>
          <w:rFonts w:ascii="Times" w:hAnsi="Times"/>
          <w:noProof/>
          <w:sz w:val="18"/>
          <w:szCs w:val="18"/>
          <w:lang w:val="en-US"/>
        </w:rPr>
        <w:t>;</w:t>
      </w:r>
    </w:p>
    <w:p w14:paraId="1EDB27D5" w14:textId="418512BD" w:rsidR="00736877" w:rsidRPr="000A06F1" w:rsidRDefault="00736877" w:rsidP="00736877">
      <w:pPr>
        <w:pStyle w:val="Paragrafoelenco"/>
        <w:numPr>
          <w:ilvl w:val="0"/>
          <w:numId w:val="2"/>
        </w:numPr>
        <w:spacing w:line="220" w:lineRule="exact"/>
        <w:rPr>
          <w:rFonts w:ascii="Times" w:hAnsi="Times"/>
          <w:noProof/>
          <w:sz w:val="18"/>
          <w:szCs w:val="18"/>
          <w:lang w:val="en-US"/>
        </w:rPr>
      </w:pPr>
      <w:r w:rsidRPr="000A06F1">
        <w:rPr>
          <w:rFonts w:ascii="Times" w:hAnsi="Times"/>
          <w:smallCaps/>
          <w:noProof/>
          <w:sz w:val="18"/>
          <w:szCs w:val="18"/>
          <w:lang w:val="en-US"/>
        </w:rPr>
        <w:t>H. Cousy</w:t>
      </w:r>
      <w:r w:rsidRPr="000A06F1">
        <w:rPr>
          <w:rFonts w:ascii="Times" w:hAnsi="Times"/>
          <w:noProof/>
          <w:sz w:val="18"/>
          <w:szCs w:val="18"/>
          <w:lang w:val="en-US"/>
        </w:rPr>
        <w:t xml:space="preserve">, </w:t>
      </w:r>
      <w:r w:rsidRPr="000A06F1">
        <w:rPr>
          <w:rFonts w:ascii="Times" w:hAnsi="Times"/>
          <w:i/>
          <w:iCs/>
          <w:noProof/>
          <w:sz w:val="18"/>
          <w:szCs w:val="18"/>
          <w:lang w:val="en-US"/>
        </w:rPr>
        <w:t>Changing Insurance Contract Law: An Age-Old, Slow and Unfiished Story</w:t>
      </w:r>
      <w:r w:rsidRPr="000A06F1">
        <w:rPr>
          <w:rFonts w:ascii="Times" w:hAnsi="Times"/>
          <w:noProof/>
          <w:sz w:val="18"/>
          <w:szCs w:val="18"/>
          <w:lang w:val="en-US"/>
        </w:rPr>
        <w:t xml:space="preserve">, in </w:t>
      </w:r>
      <w:r w:rsidRPr="000A06F1">
        <w:rPr>
          <w:rFonts w:ascii="Times" w:hAnsi="Times"/>
          <w:i/>
          <w:iCs/>
          <w:noProof/>
          <w:sz w:val="18"/>
          <w:szCs w:val="18"/>
          <w:lang w:val="en-US"/>
        </w:rPr>
        <w:t>Insurance Regulation in the European Union</w:t>
      </w:r>
      <w:r w:rsidRPr="000A06F1">
        <w:rPr>
          <w:rFonts w:ascii="Times" w:hAnsi="Times"/>
          <w:noProof/>
          <w:sz w:val="18"/>
          <w:szCs w:val="18"/>
          <w:lang w:val="en-US"/>
        </w:rPr>
        <w:t>, edited by P. Marano and M. Siri, Palgrave Macmillan, 2017, pp. 31-57.</w:t>
      </w:r>
    </w:p>
    <w:p w14:paraId="291633FD" w14:textId="77777777" w:rsidR="00E7635B" w:rsidRDefault="00E7635B" w:rsidP="000A06F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  <w:lang w:val="en-US"/>
        </w:rPr>
      </w:pPr>
      <w:r>
        <w:rPr>
          <w:rFonts w:ascii="Times" w:hAnsi="Times"/>
          <w:noProof/>
          <w:sz w:val="18"/>
          <w:szCs w:val="18"/>
          <w:lang w:val="en-US"/>
        </w:rPr>
        <w:t xml:space="preserve">The readings will be available </w:t>
      </w:r>
      <w:r w:rsidRPr="00E7635B">
        <w:rPr>
          <w:rFonts w:ascii="Times" w:hAnsi="Times"/>
          <w:noProof/>
          <w:sz w:val="18"/>
          <w:szCs w:val="18"/>
          <w:lang w:val="en-US"/>
        </w:rPr>
        <w:t>on the course web site on Blackboard</w:t>
      </w:r>
      <w:r>
        <w:rPr>
          <w:rFonts w:ascii="Times" w:hAnsi="Times"/>
          <w:noProof/>
          <w:sz w:val="18"/>
          <w:szCs w:val="18"/>
          <w:lang w:val="en-US"/>
        </w:rPr>
        <w:t>.</w:t>
      </w:r>
    </w:p>
    <w:p w14:paraId="28BED776" w14:textId="274F5254" w:rsidR="000A06F1" w:rsidRPr="000A06F1" w:rsidRDefault="000A06F1" w:rsidP="000A06F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  <w:lang w:val="en-US"/>
        </w:rPr>
      </w:pPr>
      <w:r w:rsidRPr="000A06F1">
        <w:rPr>
          <w:rFonts w:ascii="Times" w:hAnsi="Times"/>
          <w:noProof/>
          <w:sz w:val="18"/>
          <w:szCs w:val="18"/>
          <w:lang w:val="en-US"/>
        </w:rPr>
        <w:t>In addition, students will be required to choose one or more papers on a specific topic among a list of selected readings.</w:t>
      </w:r>
    </w:p>
    <w:p w14:paraId="78966CBF" w14:textId="77777777" w:rsidR="003149D4" w:rsidRPr="000A06F1" w:rsidRDefault="003149D4" w:rsidP="003149D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0A06F1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0F2C964B" w14:textId="7AFA55B9" w:rsidR="000A06F1" w:rsidRPr="000A06F1" w:rsidRDefault="000A06F1" w:rsidP="00233724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  <w:lang w:val="en-GB"/>
        </w:rPr>
      </w:pPr>
      <w:r w:rsidRPr="000A06F1">
        <w:rPr>
          <w:rFonts w:ascii="Times" w:hAnsi="Times"/>
          <w:sz w:val="18"/>
          <w:szCs w:val="18"/>
          <w:lang w:val="en-GB"/>
        </w:rPr>
        <w:t xml:space="preserve">In the first part, </w:t>
      </w:r>
      <w:r w:rsidR="000C1617">
        <w:rPr>
          <w:rFonts w:ascii="Times" w:hAnsi="Times"/>
          <w:sz w:val="18"/>
          <w:szCs w:val="18"/>
          <w:lang w:val="en-GB"/>
        </w:rPr>
        <w:t xml:space="preserve">the </w:t>
      </w:r>
      <w:r>
        <w:rPr>
          <w:rFonts w:ascii="Times" w:hAnsi="Times"/>
          <w:sz w:val="18"/>
          <w:szCs w:val="18"/>
          <w:lang w:val="en-GB"/>
        </w:rPr>
        <w:t xml:space="preserve">teachers </w:t>
      </w:r>
      <w:r w:rsidR="00BB4AFC">
        <w:rPr>
          <w:rFonts w:ascii="Times" w:hAnsi="Times"/>
          <w:sz w:val="18"/>
          <w:szCs w:val="18"/>
          <w:lang w:val="en-GB"/>
        </w:rPr>
        <w:t xml:space="preserve">will deliver </w:t>
      </w:r>
      <w:r w:rsidRPr="000A06F1">
        <w:rPr>
          <w:rFonts w:ascii="Times" w:hAnsi="Times"/>
          <w:sz w:val="18"/>
          <w:szCs w:val="18"/>
          <w:lang w:val="en-GB"/>
        </w:rPr>
        <w:t>lectures and discuss</w:t>
      </w:r>
      <w:r w:rsidR="00BB4AFC">
        <w:rPr>
          <w:rFonts w:ascii="Times" w:hAnsi="Times"/>
          <w:sz w:val="18"/>
          <w:szCs w:val="18"/>
          <w:lang w:val="en-GB"/>
        </w:rPr>
        <w:t xml:space="preserve"> with students</w:t>
      </w:r>
      <w:r>
        <w:rPr>
          <w:rFonts w:ascii="Times" w:hAnsi="Times"/>
          <w:sz w:val="18"/>
          <w:szCs w:val="18"/>
          <w:lang w:val="en-GB"/>
        </w:rPr>
        <w:t xml:space="preserve"> on the course </w:t>
      </w:r>
      <w:r w:rsidR="000C1617">
        <w:rPr>
          <w:rFonts w:ascii="Times" w:hAnsi="Times"/>
          <w:sz w:val="18"/>
          <w:szCs w:val="18"/>
          <w:lang w:val="en-GB"/>
        </w:rPr>
        <w:t xml:space="preserve">core </w:t>
      </w:r>
      <w:r>
        <w:rPr>
          <w:rFonts w:ascii="Times" w:hAnsi="Times"/>
          <w:sz w:val="18"/>
          <w:szCs w:val="18"/>
          <w:lang w:val="en-GB"/>
        </w:rPr>
        <w:t>contents</w:t>
      </w:r>
      <w:r w:rsidRPr="000A06F1">
        <w:rPr>
          <w:rFonts w:ascii="Times" w:hAnsi="Times"/>
          <w:sz w:val="18"/>
          <w:szCs w:val="18"/>
          <w:lang w:val="en-GB"/>
        </w:rPr>
        <w:t xml:space="preserve">. </w:t>
      </w:r>
      <w:r>
        <w:rPr>
          <w:rFonts w:ascii="Times" w:hAnsi="Times"/>
          <w:sz w:val="18"/>
          <w:szCs w:val="18"/>
          <w:lang w:val="en-GB"/>
        </w:rPr>
        <w:t xml:space="preserve">In the second part, groups of students will present </w:t>
      </w:r>
      <w:r w:rsidR="00BB4AFC">
        <w:rPr>
          <w:rFonts w:ascii="Times" w:hAnsi="Times"/>
          <w:sz w:val="18"/>
          <w:szCs w:val="18"/>
          <w:lang w:val="en-GB"/>
        </w:rPr>
        <w:t xml:space="preserve">and discuss with </w:t>
      </w:r>
      <w:r w:rsidR="000C1617">
        <w:rPr>
          <w:rFonts w:ascii="Times" w:hAnsi="Times"/>
          <w:sz w:val="18"/>
          <w:szCs w:val="18"/>
          <w:lang w:val="en-GB"/>
        </w:rPr>
        <w:t xml:space="preserve">the </w:t>
      </w:r>
      <w:r w:rsidR="00E7635B">
        <w:rPr>
          <w:rFonts w:ascii="Times" w:hAnsi="Times"/>
          <w:sz w:val="18"/>
          <w:szCs w:val="18"/>
          <w:lang w:val="en-GB"/>
        </w:rPr>
        <w:t xml:space="preserve">classmates and teachers </w:t>
      </w:r>
      <w:r w:rsidR="00BB4AFC">
        <w:rPr>
          <w:rFonts w:ascii="Times" w:hAnsi="Times"/>
          <w:sz w:val="18"/>
          <w:szCs w:val="18"/>
          <w:lang w:val="en-GB"/>
        </w:rPr>
        <w:t xml:space="preserve">one or more papers on a selected topic. </w:t>
      </w:r>
      <w:r w:rsidRPr="000A06F1">
        <w:rPr>
          <w:rFonts w:ascii="Times" w:hAnsi="Times"/>
          <w:sz w:val="18"/>
          <w:szCs w:val="18"/>
          <w:lang w:val="en-GB"/>
        </w:rPr>
        <w:t xml:space="preserve">Active participation </w:t>
      </w:r>
      <w:r w:rsidR="00BB4AFC">
        <w:rPr>
          <w:rFonts w:ascii="Times" w:hAnsi="Times"/>
          <w:sz w:val="18"/>
          <w:szCs w:val="18"/>
          <w:lang w:val="en-GB"/>
        </w:rPr>
        <w:t xml:space="preserve">and discussion </w:t>
      </w:r>
      <w:r w:rsidRPr="000A06F1">
        <w:rPr>
          <w:rFonts w:ascii="Times" w:hAnsi="Times"/>
          <w:sz w:val="18"/>
          <w:szCs w:val="18"/>
          <w:lang w:val="en-GB"/>
        </w:rPr>
        <w:t xml:space="preserve">in </w:t>
      </w:r>
      <w:r w:rsidR="00BB4AFC">
        <w:rPr>
          <w:rFonts w:ascii="Times" w:hAnsi="Times"/>
          <w:sz w:val="18"/>
          <w:szCs w:val="18"/>
          <w:lang w:val="en-GB"/>
        </w:rPr>
        <w:t xml:space="preserve">all </w:t>
      </w:r>
      <w:r w:rsidRPr="000A06F1">
        <w:rPr>
          <w:rFonts w:ascii="Times" w:hAnsi="Times"/>
          <w:sz w:val="18"/>
          <w:szCs w:val="18"/>
          <w:lang w:val="en-GB"/>
        </w:rPr>
        <w:t>class</w:t>
      </w:r>
      <w:r w:rsidR="00BB4AFC">
        <w:rPr>
          <w:rFonts w:ascii="Times" w:hAnsi="Times"/>
          <w:sz w:val="18"/>
          <w:szCs w:val="18"/>
          <w:lang w:val="en-GB"/>
        </w:rPr>
        <w:t>es</w:t>
      </w:r>
      <w:r w:rsidRPr="000A06F1">
        <w:rPr>
          <w:rFonts w:ascii="Times" w:hAnsi="Times"/>
          <w:sz w:val="18"/>
          <w:szCs w:val="18"/>
          <w:lang w:val="en-GB"/>
        </w:rPr>
        <w:t xml:space="preserve"> </w:t>
      </w:r>
      <w:r w:rsidR="00BB4AFC">
        <w:rPr>
          <w:rFonts w:ascii="Times" w:hAnsi="Times"/>
          <w:sz w:val="18"/>
          <w:szCs w:val="18"/>
          <w:lang w:val="en-GB"/>
        </w:rPr>
        <w:t>are</w:t>
      </w:r>
      <w:r w:rsidRPr="000A06F1">
        <w:rPr>
          <w:rFonts w:ascii="Times" w:hAnsi="Times"/>
          <w:sz w:val="18"/>
          <w:szCs w:val="18"/>
          <w:lang w:val="en-GB"/>
        </w:rPr>
        <w:t xml:space="preserve"> highly recommended</w:t>
      </w:r>
      <w:r w:rsidR="00DE6083">
        <w:rPr>
          <w:rFonts w:ascii="Times" w:hAnsi="Times"/>
          <w:sz w:val="18"/>
          <w:szCs w:val="18"/>
          <w:lang w:val="en-GB"/>
        </w:rPr>
        <w:t xml:space="preserve"> (either in person or via streaming).</w:t>
      </w:r>
    </w:p>
    <w:p w14:paraId="76E99F38" w14:textId="77777777" w:rsidR="003149D4" w:rsidRPr="000A06F1" w:rsidRDefault="003149D4" w:rsidP="003149D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0A06F1">
        <w:rPr>
          <w:b/>
          <w:bCs/>
          <w:i/>
          <w:iCs/>
          <w:sz w:val="18"/>
          <w:szCs w:val="18"/>
          <w:lang w:val="en-GB"/>
        </w:rPr>
        <w:t>ASSESSMENT METHOD AND CRITERIA</w:t>
      </w:r>
    </w:p>
    <w:p w14:paraId="31A4B62D" w14:textId="1AFA32DB" w:rsidR="00BB4AFC" w:rsidRDefault="00BB4AFC" w:rsidP="00233724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  <w:lang w:val="en-US"/>
        </w:rPr>
      </w:pPr>
      <w:r>
        <w:rPr>
          <w:rFonts w:ascii="Times" w:hAnsi="Times"/>
          <w:sz w:val="18"/>
          <w:szCs w:val="18"/>
          <w:lang w:val="en-US"/>
        </w:rPr>
        <w:t xml:space="preserve">Final grades will be based on </w:t>
      </w:r>
      <w:r w:rsidR="00E7635B">
        <w:rPr>
          <w:rFonts w:ascii="Times" w:hAnsi="Times"/>
          <w:sz w:val="18"/>
          <w:szCs w:val="18"/>
          <w:lang w:val="en-US"/>
        </w:rPr>
        <w:t xml:space="preserve">class </w:t>
      </w:r>
      <w:r>
        <w:rPr>
          <w:rFonts w:ascii="Times" w:hAnsi="Times"/>
          <w:sz w:val="18"/>
          <w:szCs w:val="18"/>
          <w:lang w:val="en-US"/>
        </w:rPr>
        <w:t>presentation (40%), class participation throughout the course (</w:t>
      </w:r>
      <w:r w:rsidR="000C1617">
        <w:rPr>
          <w:rFonts w:ascii="Times" w:hAnsi="Times"/>
          <w:sz w:val="18"/>
          <w:szCs w:val="18"/>
          <w:lang w:val="en-US"/>
        </w:rPr>
        <w:t>1</w:t>
      </w:r>
      <w:r>
        <w:rPr>
          <w:rFonts w:ascii="Times" w:hAnsi="Times"/>
          <w:sz w:val="18"/>
          <w:szCs w:val="18"/>
          <w:lang w:val="en-US"/>
        </w:rPr>
        <w:t>0%), and a final oral exam (</w:t>
      </w:r>
      <w:r w:rsidR="000C1617">
        <w:rPr>
          <w:rFonts w:ascii="Times" w:hAnsi="Times"/>
          <w:sz w:val="18"/>
          <w:szCs w:val="18"/>
          <w:lang w:val="en-US"/>
        </w:rPr>
        <w:t>5</w:t>
      </w:r>
      <w:r>
        <w:rPr>
          <w:rFonts w:ascii="Times" w:hAnsi="Times"/>
          <w:sz w:val="18"/>
          <w:szCs w:val="18"/>
          <w:lang w:val="en-US"/>
        </w:rPr>
        <w:t>0%)</w:t>
      </w:r>
      <w:r w:rsidR="000C1617">
        <w:rPr>
          <w:rFonts w:ascii="Times" w:hAnsi="Times"/>
          <w:sz w:val="18"/>
          <w:szCs w:val="18"/>
          <w:lang w:val="en-US"/>
        </w:rPr>
        <w:t>.</w:t>
      </w:r>
    </w:p>
    <w:p w14:paraId="7D5D59CF" w14:textId="3F27CC39" w:rsidR="00DE6083" w:rsidRDefault="000C1617" w:rsidP="00233724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  <w:lang w:val="en-US"/>
        </w:rPr>
      </w:pPr>
      <w:r>
        <w:rPr>
          <w:rFonts w:ascii="Times" w:hAnsi="Times"/>
          <w:sz w:val="18"/>
          <w:szCs w:val="18"/>
          <w:lang w:val="en-US"/>
        </w:rPr>
        <w:t xml:space="preserve">The oral exam will cover the assigned readings and all the </w:t>
      </w:r>
      <w:r w:rsidR="00DE6083">
        <w:rPr>
          <w:rFonts w:ascii="Times" w:hAnsi="Times"/>
          <w:sz w:val="18"/>
          <w:szCs w:val="18"/>
          <w:lang w:val="en-US"/>
        </w:rPr>
        <w:t>topics</w:t>
      </w:r>
      <w:r>
        <w:rPr>
          <w:rFonts w:ascii="Times" w:hAnsi="Times"/>
          <w:sz w:val="18"/>
          <w:szCs w:val="18"/>
          <w:lang w:val="en-US"/>
        </w:rPr>
        <w:t xml:space="preserve"> </w:t>
      </w:r>
      <w:r w:rsidR="00DE6083">
        <w:rPr>
          <w:rFonts w:ascii="Times" w:hAnsi="Times"/>
          <w:sz w:val="18"/>
          <w:szCs w:val="18"/>
          <w:lang w:val="en-US"/>
        </w:rPr>
        <w:t xml:space="preserve">presented </w:t>
      </w:r>
      <w:r>
        <w:rPr>
          <w:rFonts w:ascii="Times" w:hAnsi="Times"/>
          <w:sz w:val="18"/>
          <w:szCs w:val="18"/>
          <w:lang w:val="en-US"/>
        </w:rPr>
        <w:t>in class</w:t>
      </w:r>
      <w:r w:rsidR="00DE6083">
        <w:rPr>
          <w:rFonts w:ascii="Times" w:hAnsi="Times"/>
          <w:sz w:val="18"/>
          <w:szCs w:val="18"/>
          <w:lang w:val="en-US"/>
        </w:rPr>
        <w:t xml:space="preserve"> both by teachers and students</w:t>
      </w:r>
      <w:r>
        <w:rPr>
          <w:rFonts w:ascii="Times" w:hAnsi="Times"/>
          <w:sz w:val="18"/>
          <w:szCs w:val="18"/>
          <w:lang w:val="en-US"/>
        </w:rPr>
        <w:t xml:space="preserve">. </w:t>
      </w:r>
      <w:r w:rsidR="00DE6083">
        <w:rPr>
          <w:rFonts w:ascii="Times" w:hAnsi="Times"/>
          <w:sz w:val="18"/>
          <w:szCs w:val="18"/>
          <w:lang w:val="en-US"/>
        </w:rPr>
        <w:t>The exam is aimed at evaluating (</w:t>
      </w:r>
      <w:proofErr w:type="spellStart"/>
      <w:r w:rsidR="00DE6083">
        <w:rPr>
          <w:rFonts w:ascii="Times" w:hAnsi="Times"/>
          <w:sz w:val="18"/>
          <w:szCs w:val="18"/>
          <w:lang w:val="en-US"/>
        </w:rPr>
        <w:t>i</w:t>
      </w:r>
      <w:proofErr w:type="spellEnd"/>
      <w:r w:rsidR="00DE6083">
        <w:rPr>
          <w:rFonts w:ascii="Times" w:hAnsi="Times"/>
          <w:sz w:val="18"/>
          <w:szCs w:val="18"/>
          <w:lang w:val="en-US"/>
        </w:rPr>
        <w:t xml:space="preserve">) </w:t>
      </w:r>
      <w:r w:rsidR="00DE6083" w:rsidRPr="00DE6083">
        <w:rPr>
          <w:rFonts w:ascii="Times" w:hAnsi="Times"/>
          <w:sz w:val="18"/>
          <w:szCs w:val="18"/>
          <w:lang w:val="en-US"/>
        </w:rPr>
        <w:t xml:space="preserve">knowledge of the topics, </w:t>
      </w:r>
      <w:r w:rsidR="00DE6083">
        <w:rPr>
          <w:rFonts w:ascii="Times" w:hAnsi="Times"/>
          <w:sz w:val="18"/>
          <w:szCs w:val="18"/>
          <w:lang w:val="en-US"/>
        </w:rPr>
        <w:t xml:space="preserve">(ii) acquisition of </w:t>
      </w:r>
      <w:r w:rsidR="00DE6083" w:rsidRPr="00DE6083">
        <w:rPr>
          <w:rFonts w:ascii="Times" w:hAnsi="Times"/>
          <w:sz w:val="18"/>
          <w:szCs w:val="18"/>
          <w:lang w:val="en-US"/>
        </w:rPr>
        <w:t xml:space="preserve">analytical </w:t>
      </w:r>
      <w:r w:rsidR="00DE6083">
        <w:rPr>
          <w:rFonts w:ascii="Times" w:hAnsi="Times"/>
          <w:sz w:val="18"/>
          <w:szCs w:val="18"/>
          <w:lang w:val="en-US"/>
        </w:rPr>
        <w:t>categories</w:t>
      </w:r>
      <w:r w:rsidR="00DE6083" w:rsidRPr="00DE6083">
        <w:rPr>
          <w:rFonts w:ascii="Times" w:hAnsi="Times"/>
          <w:sz w:val="18"/>
          <w:szCs w:val="18"/>
          <w:lang w:val="en-US"/>
        </w:rPr>
        <w:t xml:space="preserve">, and </w:t>
      </w:r>
      <w:r w:rsidR="00DE6083">
        <w:rPr>
          <w:rFonts w:ascii="Times" w:hAnsi="Times"/>
          <w:sz w:val="18"/>
          <w:szCs w:val="18"/>
          <w:lang w:val="en-US"/>
        </w:rPr>
        <w:t>(iii) ability to apply such categories to specific practical issues.</w:t>
      </w:r>
    </w:p>
    <w:p w14:paraId="13994556" w14:textId="77777777" w:rsidR="003149D4" w:rsidRPr="000A06F1" w:rsidRDefault="00233724" w:rsidP="0023372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0A06F1">
        <w:rPr>
          <w:b/>
          <w:bCs/>
          <w:i/>
          <w:iCs/>
          <w:sz w:val="18"/>
          <w:szCs w:val="18"/>
          <w:lang w:val="en-GB"/>
        </w:rPr>
        <w:t>NOTES AND PREREQUISITES</w:t>
      </w:r>
    </w:p>
    <w:p w14:paraId="7A05B234" w14:textId="7E2055EF" w:rsidR="00233724" w:rsidRPr="000A06F1" w:rsidRDefault="00736877" w:rsidP="00233724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  <w:lang w:val="en-GB"/>
        </w:rPr>
      </w:pPr>
      <w:r w:rsidRPr="000A06F1">
        <w:rPr>
          <w:rFonts w:ascii="Times" w:hAnsi="Times"/>
          <w:sz w:val="18"/>
          <w:szCs w:val="18"/>
          <w:lang w:val="en-GB"/>
        </w:rPr>
        <w:t>Basic knowledge of economics of insurance is assumed. No previous knowledge of insurance law is required.</w:t>
      </w:r>
    </w:p>
    <w:p w14:paraId="09766B5D" w14:textId="271283CB" w:rsidR="00736877" w:rsidRPr="000A06F1" w:rsidRDefault="00736877" w:rsidP="00736877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  <w:lang w:val="en-GB"/>
        </w:rPr>
      </w:pPr>
      <w:r w:rsidRPr="000A06F1">
        <w:rPr>
          <w:rFonts w:ascii="Times" w:hAnsi="Times"/>
          <w:sz w:val="18"/>
          <w:szCs w:val="18"/>
          <w:lang w:val="en-GB"/>
        </w:rPr>
        <w:t>Meetings with the teachers can be arranged by appointment.</w:t>
      </w:r>
    </w:p>
    <w:p w14:paraId="2C8F4C0D" w14:textId="6BAAC361" w:rsidR="00736877" w:rsidRPr="000A06F1" w:rsidRDefault="00736877" w:rsidP="00736877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  <w:lang w:val="en-GB"/>
        </w:rPr>
      </w:pPr>
      <w:r w:rsidRPr="000A06F1">
        <w:rPr>
          <w:rFonts w:ascii="Times" w:hAnsi="Times"/>
          <w:sz w:val="18"/>
          <w:szCs w:val="18"/>
          <w:lang w:val="en-GB"/>
        </w:rPr>
        <w:lastRenderedPageBreak/>
        <w:t>Email addresses: danilo.semeghini@unicatt.it; enricorino.restelli@unicatt.it.</w:t>
      </w:r>
    </w:p>
    <w:p w14:paraId="111640F9" w14:textId="77BF4E14" w:rsidR="00A515F4" w:rsidRDefault="00E7635B" w:rsidP="00D8453B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18"/>
          <w:lang w:val="en-GB"/>
        </w:rPr>
      </w:pPr>
      <w:r>
        <w:rPr>
          <w:rFonts w:ascii="Times" w:hAnsi="Times"/>
          <w:sz w:val="18"/>
          <w:szCs w:val="18"/>
          <w:lang w:val="en-GB"/>
        </w:rPr>
        <w:t xml:space="preserve">Approximately </w:t>
      </w:r>
      <w:r w:rsidR="00D8453B" w:rsidRPr="000A06F1">
        <w:rPr>
          <w:rFonts w:ascii="Times" w:hAnsi="Times"/>
          <w:sz w:val="18"/>
          <w:szCs w:val="18"/>
          <w:lang w:val="en-GB"/>
        </w:rPr>
        <w:t>70% of classes will take place in classroom with the teachers and a limited number of students</w:t>
      </w:r>
      <w:r w:rsidR="00311D86">
        <w:rPr>
          <w:rFonts w:ascii="Times" w:hAnsi="Times"/>
          <w:sz w:val="18"/>
          <w:szCs w:val="18"/>
          <w:lang w:val="en-GB"/>
        </w:rPr>
        <w:t>; these classes</w:t>
      </w:r>
      <w:r w:rsidR="00D8453B" w:rsidRPr="000A06F1">
        <w:rPr>
          <w:rFonts w:ascii="Times" w:hAnsi="Times"/>
          <w:sz w:val="18"/>
          <w:szCs w:val="18"/>
          <w:lang w:val="en-GB"/>
        </w:rPr>
        <w:t xml:space="preserve"> will </w:t>
      </w:r>
      <w:r w:rsidR="00311D86">
        <w:rPr>
          <w:rFonts w:ascii="Times" w:hAnsi="Times"/>
          <w:sz w:val="18"/>
          <w:szCs w:val="18"/>
          <w:lang w:val="en-GB"/>
        </w:rPr>
        <w:t xml:space="preserve">also </w:t>
      </w:r>
      <w:r w:rsidR="00D8453B" w:rsidRPr="000A06F1">
        <w:rPr>
          <w:rFonts w:ascii="Times" w:hAnsi="Times"/>
          <w:sz w:val="18"/>
          <w:szCs w:val="18"/>
          <w:lang w:val="en-GB"/>
        </w:rPr>
        <w:t>be streamed online</w:t>
      </w:r>
      <w:r w:rsidR="000C1617">
        <w:rPr>
          <w:rFonts w:ascii="Times" w:hAnsi="Times"/>
          <w:sz w:val="18"/>
          <w:szCs w:val="18"/>
          <w:lang w:val="en-GB"/>
        </w:rPr>
        <w:t xml:space="preserve"> and recorded</w:t>
      </w:r>
      <w:r w:rsidR="00D8453B" w:rsidRPr="000A06F1">
        <w:rPr>
          <w:rFonts w:ascii="Times" w:hAnsi="Times"/>
          <w:sz w:val="18"/>
          <w:szCs w:val="18"/>
          <w:lang w:val="en-GB"/>
        </w:rPr>
        <w:t>. The remaining 30% will be streamed online</w:t>
      </w:r>
      <w:r w:rsidR="000C1617">
        <w:rPr>
          <w:rFonts w:ascii="Times" w:hAnsi="Times"/>
          <w:sz w:val="18"/>
          <w:szCs w:val="18"/>
          <w:lang w:val="en-GB"/>
        </w:rPr>
        <w:t xml:space="preserve"> and recorded</w:t>
      </w:r>
      <w:r w:rsidR="00D8453B" w:rsidRPr="000A06F1">
        <w:rPr>
          <w:rFonts w:ascii="Times" w:hAnsi="Times"/>
          <w:sz w:val="18"/>
          <w:szCs w:val="18"/>
          <w:lang w:val="en-GB"/>
        </w:rPr>
        <w:t>.</w:t>
      </w:r>
    </w:p>
    <w:p w14:paraId="4B8E9A93" w14:textId="77777777" w:rsidR="003E2CA1" w:rsidRPr="006C2684" w:rsidRDefault="003E2CA1" w:rsidP="003E2CA1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sectPr w:rsidR="003E2CA1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A7F7" w14:textId="77777777" w:rsidR="00165805" w:rsidRDefault="00165805" w:rsidP="00165805">
      <w:pPr>
        <w:spacing w:line="240" w:lineRule="auto"/>
      </w:pPr>
      <w:r>
        <w:separator/>
      </w:r>
    </w:p>
  </w:endnote>
  <w:endnote w:type="continuationSeparator" w:id="0">
    <w:p w14:paraId="3D98CB8E" w14:textId="77777777" w:rsidR="00165805" w:rsidRDefault="00165805" w:rsidP="0016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A023" w14:textId="77777777" w:rsidR="00165805" w:rsidRDefault="00165805" w:rsidP="00165805">
      <w:pPr>
        <w:spacing w:line="240" w:lineRule="auto"/>
      </w:pPr>
      <w:r>
        <w:separator/>
      </w:r>
    </w:p>
  </w:footnote>
  <w:footnote w:type="continuationSeparator" w:id="0">
    <w:p w14:paraId="270C7A23" w14:textId="77777777" w:rsidR="00165805" w:rsidRDefault="00165805" w:rsidP="00165805">
      <w:pPr>
        <w:spacing w:line="240" w:lineRule="auto"/>
      </w:pPr>
      <w:r>
        <w:continuationSeparator/>
      </w:r>
    </w:p>
  </w:footnote>
  <w:footnote w:id="1">
    <w:p w14:paraId="056A2293" w14:textId="77777777" w:rsidR="00165805" w:rsidRPr="001D7759" w:rsidRDefault="00165805" w:rsidP="0016580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165003C" w14:textId="08E99E4A" w:rsidR="00165805" w:rsidRDefault="00165805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7D5"/>
    <w:multiLevelType w:val="hybridMultilevel"/>
    <w:tmpl w:val="BFBC390A"/>
    <w:lvl w:ilvl="0" w:tplc="7620112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670F1"/>
    <w:multiLevelType w:val="hybridMultilevel"/>
    <w:tmpl w:val="4C248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34EFF"/>
    <w:rsid w:val="000A06F1"/>
    <w:rsid w:val="000C1617"/>
    <w:rsid w:val="00154018"/>
    <w:rsid w:val="00165805"/>
    <w:rsid w:val="00187B99"/>
    <w:rsid w:val="002014DD"/>
    <w:rsid w:val="00233724"/>
    <w:rsid w:val="002C3438"/>
    <w:rsid w:val="002D5E17"/>
    <w:rsid w:val="003011BD"/>
    <w:rsid w:val="00311D86"/>
    <w:rsid w:val="003149D4"/>
    <w:rsid w:val="00381383"/>
    <w:rsid w:val="003C7FC4"/>
    <w:rsid w:val="003E2CA1"/>
    <w:rsid w:val="0045386F"/>
    <w:rsid w:val="00462F04"/>
    <w:rsid w:val="004D1217"/>
    <w:rsid w:val="004D6008"/>
    <w:rsid w:val="00523597"/>
    <w:rsid w:val="006178FC"/>
    <w:rsid w:val="00640794"/>
    <w:rsid w:val="006F1772"/>
    <w:rsid w:val="00712901"/>
    <w:rsid w:val="00726F57"/>
    <w:rsid w:val="00736877"/>
    <w:rsid w:val="00750E47"/>
    <w:rsid w:val="008942E7"/>
    <w:rsid w:val="008A06FC"/>
    <w:rsid w:val="008A1204"/>
    <w:rsid w:val="00900CCA"/>
    <w:rsid w:val="00924B77"/>
    <w:rsid w:val="00940DA2"/>
    <w:rsid w:val="009E055C"/>
    <w:rsid w:val="009F61A2"/>
    <w:rsid w:val="00A515F4"/>
    <w:rsid w:val="00A66E8F"/>
    <w:rsid w:val="00A74F6F"/>
    <w:rsid w:val="00A7692F"/>
    <w:rsid w:val="00AD7557"/>
    <w:rsid w:val="00B50C5D"/>
    <w:rsid w:val="00B51253"/>
    <w:rsid w:val="00B525CC"/>
    <w:rsid w:val="00BB4AFC"/>
    <w:rsid w:val="00BC0DCD"/>
    <w:rsid w:val="00C91B5B"/>
    <w:rsid w:val="00CD22E7"/>
    <w:rsid w:val="00CE60A5"/>
    <w:rsid w:val="00D404F2"/>
    <w:rsid w:val="00D8453B"/>
    <w:rsid w:val="00DD1D89"/>
    <w:rsid w:val="00DE2B54"/>
    <w:rsid w:val="00DE6083"/>
    <w:rsid w:val="00E607E6"/>
    <w:rsid w:val="00E7635B"/>
    <w:rsid w:val="00EA5EB1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1F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73687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687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658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5805"/>
  </w:style>
  <w:style w:type="character" w:styleId="Rimandonotaapidipagina">
    <w:name w:val="footnote reference"/>
    <w:basedOn w:val="Carpredefinitoparagrafo"/>
    <w:rsid w:val="00165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73687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687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658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5805"/>
  </w:style>
  <w:style w:type="character" w:styleId="Rimandonotaapidipagina">
    <w:name w:val="footnote reference"/>
    <w:basedOn w:val="Carpredefinitoparagrafo"/>
    <w:rsid w:val="00165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2CAA-8E36-4846-94E4-1271B4F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Caputo Chiara</cp:lastModifiedBy>
  <cp:revision>4</cp:revision>
  <cp:lastPrinted>2003-03-27T10:42:00Z</cp:lastPrinted>
  <dcterms:created xsi:type="dcterms:W3CDTF">2020-07-02T08:11:00Z</dcterms:created>
  <dcterms:modified xsi:type="dcterms:W3CDTF">2020-08-05T14:18:00Z</dcterms:modified>
</cp:coreProperties>
</file>