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853" w:rsidRPr="00C0572F" w:rsidRDefault="00C51853" w:rsidP="00C0572F">
      <w:pPr>
        <w:pStyle w:val="Titolo1"/>
      </w:pPr>
      <w:r w:rsidRPr="00C0572F">
        <w:t>Metodologie e determinazioni quantitative d’azienda</w:t>
      </w:r>
    </w:p>
    <w:p w:rsidR="00C51853" w:rsidRPr="00C0572F" w:rsidRDefault="00C51853" w:rsidP="00C0572F">
      <w:pPr>
        <w:pStyle w:val="Titolo2"/>
      </w:pPr>
      <w:r w:rsidRPr="00C0572F">
        <w:t>Prof. Claudio Sottoriva</w:t>
      </w:r>
    </w:p>
    <w:p w:rsidR="002D5E17" w:rsidRDefault="00C51853" w:rsidP="00C51853">
      <w:pPr>
        <w:spacing w:before="240" w:after="120" w:line="240" w:lineRule="exact"/>
        <w:rPr>
          <w:b/>
          <w:sz w:val="18"/>
        </w:rPr>
      </w:pPr>
      <w:r>
        <w:rPr>
          <w:b/>
          <w:i/>
          <w:sz w:val="18"/>
        </w:rPr>
        <w:t>OBIETTIVO DEL CORSO E RISULTATI DI APPRENDIMENTO ATTESI</w:t>
      </w:r>
    </w:p>
    <w:p w:rsidR="00C51853" w:rsidRPr="000D20A1" w:rsidRDefault="00C51853" w:rsidP="00B17D7B">
      <w:pPr>
        <w:spacing w:line="240" w:lineRule="exact"/>
      </w:pPr>
      <w:r w:rsidRPr="000D20A1">
        <w:t xml:space="preserve">L’insegnamento di </w:t>
      </w:r>
      <w:r w:rsidRPr="000D20A1">
        <w:rPr>
          <w:i/>
        </w:rPr>
        <w:t>Metodologie e determinazioni quantitative d’azienda</w:t>
      </w:r>
      <w:r w:rsidRPr="000D20A1">
        <w:t xml:space="preserve"> persegue due obiettivi didattici principali:</w:t>
      </w:r>
    </w:p>
    <w:p w:rsidR="00C51853" w:rsidRPr="000D20A1" w:rsidRDefault="00C51853" w:rsidP="00B17D7B">
      <w:pPr>
        <w:spacing w:line="240" w:lineRule="exact"/>
        <w:ind w:left="284" w:hanging="284"/>
      </w:pPr>
      <w:r w:rsidRPr="000D20A1">
        <w:t>–</w:t>
      </w:r>
      <w:r w:rsidRPr="000D20A1">
        <w:tab/>
        <w:t>che lo studente acquisisca i principi fondamentali che sono alla base della redazione del bilancio di esercizio;</w:t>
      </w:r>
    </w:p>
    <w:p w:rsidR="00C51853" w:rsidRDefault="00C51853" w:rsidP="00B17D7B">
      <w:pPr>
        <w:spacing w:line="240" w:lineRule="exact"/>
        <w:ind w:left="284" w:hanging="284"/>
      </w:pPr>
      <w:r w:rsidRPr="000D20A1">
        <w:t>–</w:t>
      </w:r>
      <w:r w:rsidRPr="000D20A1">
        <w:tab/>
        <w:t>che lo studente completi e consolidi la propria conoscenza della logica delle rilevazioni contabili e del metodo della partita doppia.</w:t>
      </w:r>
    </w:p>
    <w:p w:rsidR="00C51853" w:rsidRPr="00B17BC9" w:rsidRDefault="00C51853" w:rsidP="00B17D7B">
      <w:pPr>
        <w:autoSpaceDE w:val="0"/>
        <w:autoSpaceDN w:val="0"/>
        <w:adjustRightInd w:val="0"/>
        <w:spacing w:line="240" w:lineRule="exact"/>
        <w:jc w:val="left"/>
        <w:rPr>
          <w:szCs w:val="18"/>
        </w:rPr>
      </w:pPr>
      <w:r w:rsidRPr="00B17BC9">
        <w:rPr>
          <w:szCs w:val="18"/>
        </w:rPr>
        <w:t>Al termine del corso gli studenti:</w:t>
      </w:r>
    </w:p>
    <w:p w:rsidR="00C51853" w:rsidRPr="00B17D7B" w:rsidRDefault="00C51853" w:rsidP="00B17D7B">
      <w:pPr>
        <w:pStyle w:val="Paragrafoelenco"/>
        <w:numPr>
          <w:ilvl w:val="0"/>
          <w:numId w:val="2"/>
        </w:numPr>
        <w:autoSpaceDE w:val="0"/>
        <w:autoSpaceDN w:val="0"/>
        <w:adjustRightInd w:val="0"/>
        <w:ind w:left="284" w:hanging="284"/>
        <w:rPr>
          <w:szCs w:val="18"/>
        </w:rPr>
      </w:pPr>
      <w:r w:rsidRPr="00B17D7B">
        <w:rPr>
          <w:szCs w:val="18"/>
        </w:rPr>
        <w:t>conosceranno gli scopi e i principi di redazione del bilancio, nonché il contenuto dei documenti che compongono il bilancio, in base alla normativa civilistica e ai principi contabili nazionali;</w:t>
      </w:r>
    </w:p>
    <w:p w:rsidR="00C51853" w:rsidRPr="00383C8B" w:rsidRDefault="00C51853" w:rsidP="00B17D7B">
      <w:pPr>
        <w:pStyle w:val="Paragrafoelenco"/>
        <w:numPr>
          <w:ilvl w:val="0"/>
          <w:numId w:val="2"/>
        </w:numPr>
        <w:autoSpaceDE w:val="0"/>
        <w:autoSpaceDN w:val="0"/>
        <w:adjustRightInd w:val="0"/>
        <w:ind w:left="284" w:hanging="284"/>
        <w:rPr>
          <w:szCs w:val="18"/>
        </w:rPr>
      </w:pPr>
      <w:r>
        <w:rPr>
          <w:szCs w:val="18"/>
        </w:rPr>
        <w:t>s</w:t>
      </w:r>
      <w:r w:rsidRPr="00383C8B">
        <w:rPr>
          <w:szCs w:val="18"/>
        </w:rPr>
        <w:t xml:space="preserve">aranno in grado di effettuare le valutazioni per il bilancio di esercizio nella prospettiva del </w:t>
      </w:r>
      <w:r>
        <w:rPr>
          <w:szCs w:val="18"/>
        </w:rPr>
        <w:t>C</w:t>
      </w:r>
      <w:r w:rsidRPr="00383C8B">
        <w:rPr>
          <w:szCs w:val="18"/>
        </w:rPr>
        <w:t xml:space="preserve">odice </w:t>
      </w:r>
      <w:r>
        <w:rPr>
          <w:szCs w:val="18"/>
        </w:rPr>
        <w:t>C</w:t>
      </w:r>
      <w:r w:rsidRPr="00383C8B">
        <w:rPr>
          <w:szCs w:val="18"/>
        </w:rPr>
        <w:t>ivile</w:t>
      </w:r>
      <w:r>
        <w:rPr>
          <w:szCs w:val="18"/>
        </w:rPr>
        <w:t xml:space="preserve"> e </w:t>
      </w:r>
      <w:r w:rsidRPr="00383C8B">
        <w:rPr>
          <w:szCs w:val="18"/>
        </w:rPr>
        <w:t>dei principi contabili</w:t>
      </w:r>
      <w:r>
        <w:rPr>
          <w:szCs w:val="18"/>
        </w:rPr>
        <w:t xml:space="preserve"> nazionali</w:t>
      </w:r>
      <w:r w:rsidRPr="00383C8B">
        <w:rPr>
          <w:szCs w:val="18"/>
        </w:rPr>
        <w:t>;</w:t>
      </w:r>
    </w:p>
    <w:p w:rsidR="00C51853" w:rsidRPr="00383C8B" w:rsidRDefault="00C51853" w:rsidP="00B17D7B">
      <w:pPr>
        <w:pStyle w:val="Paragrafoelenco"/>
        <w:numPr>
          <w:ilvl w:val="0"/>
          <w:numId w:val="2"/>
        </w:numPr>
        <w:autoSpaceDE w:val="0"/>
        <w:autoSpaceDN w:val="0"/>
        <w:adjustRightInd w:val="0"/>
        <w:ind w:left="284" w:hanging="284"/>
        <w:rPr>
          <w:szCs w:val="18"/>
        </w:rPr>
      </w:pPr>
      <w:r>
        <w:rPr>
          <w:szCs w:val="18"/>
        </w:rPr>
        <w:t>s</w:t>
      </w:r>
      <w:r w:rsidRPr="00383C8B">
        <w:rPr>
          <w:szCs w:val="18"/>
        </w:rPr>
        <w:t>apranno applicare la logica delle rilevazioni contabili e del metodo di raccolta e classificazione dei valori, tanto nelle rilevazioni contabili elementari quanto nella costruzione delle tavole di sintesi;</w:t>
      </w:r>
    </w:p>
    <w:p w:rsidR="00C51853" w:rsidRPr="00383C8B" w:rsidRDefault="00C51853" w:rsidP="00B17D7B">
      <w:pPr>
        <w:pStyle w:val="Paragrafoelenco"/>
        <w:numPr>
          <w:ilvl w:val="0"/>
          <w:numId w:val="2"/>
        </w:numPr>
        <w:autoSpaceDE w:val="0"/>
        <w:autoSpaceDN w:val="0"/>
        <w:adjustRightInd w:val="0"/>
        <w:ind w:left="284" w:hanging="284"/>
        <w:rPr>
          <w:szCs w:val="18"/>
        </w:rPr>
      </w:pPr>
      <w:r>
        <w:rPr>
          <w:szCs w:val="18"/>
        </w:rPr>
        <w:t>a</w:t>
      </w:r>
      <w:r w:rsidRPr="00383C8B">
        <w:rPr>
          <w:szCs w:val="18"/>
        </w:rPr>
        <w:t>vranno acquisito la capacità di leggere i documenti contabili per comprendere la situazione reddituale, patrimoniale e finanziaria delle aziende;</w:t>
      </w:r>
    </w:p>
    <w:p w:rsidR="00C51853" w:rsidRPr="00383C8B" w:rsidRDefault="00C51853" w:rsidP="00B17D7B">
      <w:pPr>
        <w:pStyle w:val="Paragrafoelenco"/>
        <w:numPr>
          <w:ilvl w:val="0"/>
          <w:numId w:val="2"/>
        </w:numPr>
        <w:autoSpaceDE w:val="0"/>
        <w:autoSpaceDN w:val="0"/>
        <w:adjustRightInd w:val="0"/>
        <w:ind w:left="284" w:hanging="284"/>
        <w:rPr>
          <w:szCs w:val="18"/>
        </w:rPr>
      </w:pPr>
      <w:r>
        <w:rPr>
          <w:szCs w:val="18"/>
        </w:rPr>
        <w:t>a</w:t>
      </w:r>
      <w:r w:rsidRPr="00383C8B">
        <w:rPr>
          <w:szCs w:val="18"/>
        </w:rPr>
        <w:t>vranno acquisito un linguaggio tecnico che consenta loro di comunicare con chiarezza ed efficacia le conoscenze acquisite;</w:t>
      </w:r>
    </w:p>
    <w:p w:rsidR="00C51853" w:rsidRDefault="00C51853" w:rsidP="00C51853">
      <w:pPr>
        <w:spacing w:before="240" w:after="120" w:line="240" w:lineRule="exact"/>
        <w:rPr>
          <w:b/>
          <w:sz w:val="18"/>
        </w:rPr>
      </w:pPr>
      <w:r>
        <w:rPr>
          <w:b/>
          <w:i/>
          <w:sz w:val="18"/>
        </w:rPr>
        <w:t>PROGRAMMA DEL CORSO</w:t>
      </w:r>
    </w:p>
    <w:p w:rsidR="00C51853" w:rsidRPr="005760D4" w:rsidRDefault="00C51853" w:rsidP="00B17D7B">
      <w:pPr>
        <w:spacing w:before="120" w:line="240" w:lineRule="exact"/>
      </w:pPr>
      <w:r w:rsidRPr="005760D4">
        <w:t xml:space="preserve">Nella </w:t>
      </w:r>
      <w:r w:rsidRPr="005760D4">
        <w:rPr>
          <w:i/>
        </w:rPr>
        <w:t>prima parte</w:t>
      </w:r>
      <w:r w:rsidRPr="005760D4">
        <w:t xml:space="preserve"> del corso si presentano gli obiettivi e i principi di redazione del bilancio di esercizio e si introducono i principi contabili nazionali (OIC) ed internazionali (IAS/IFRS).</w:t>
      </w:r>
    </w:p>
    <w:p w:rsidR="00C51853" w:rsidRPr="005760D4" w:rsidRDefault="00C51853" w:rsidP="00B17D7B">
      <w:pPr>
        <w:spacing w:line="240" w:lineRule="exact"/>
      </w:pPr>
      <w:r w:rsidRPr="005760D4">
        <w:t xml:space="preserve">La </w:t>
      </w:r>
      <w:r w:rsidRPr="005760D4">
        <w:rPr>
          <w:i/>
        </w:rPr>
        <w:t>seconda parte</w:t>
      </w:r>
      <w:r w:rsidRPr="005760D4">
        <w:t xml:space="preserve"> del corso affronta lo studio della struttura del bilancio di esercizio, esaminando l’attuale disciplina relativa alla redazione bilancio di esercizio contenuta nel Codice Civile. Si approfondisce quindi l’analisi del contenuto dello schema dello Stato patrimoniale, dello schema del Conto economico e della Nota integrativa.</w:t>
      </w:r>
    </w:p>
    <w:p w:rsidR="00C51853" w:rsidRPr="005760D4" w:rsidRDefault="00C51853" w:rsidP="00B17D7B">
      <w:pPr>
        <w:spacing w:line="240" w:lineRule="exact"/>
      </w:pPr>
      <w:r w:rsidRPr="005760D4">
        <w:t>Vengono inoltre analizzate le finalità della redazione della Relazione sulla gestione e del Rendiconto finanziario.</w:t>
      </w:r>
    </w:p>
    <w:p w:rsidR="00C51853" w:rsidRPr="005760D4" w:rsidRDefault="00C51853" w:rsidP="00B17D7B">
      <w:pPr>
        <w:spacing w:line="240" w:lineRule="exact"/>
      </w:pPr>
      <w:r w:rsidRPr="005760D4">
        <w:lastRenderedPageBreak/>
        <w:t xml:space="preserve">La </w:t>
      </w:r>
      <w:r w:rsidRPr="005760D4">
        <w:rPr>
          <w:i/>
        </w:rPr>
        <w:t>terza parte</w:t>
      </w:r>
      <w:r w:rsidRPr="005760D4">
        <w:t xml:space="preserve"> del corso è dedicata alle valutazioni per il bilancio di esercizio, affrontate nella prospettiva del Codice Civile, dei principi contabili e della normativa fiscale.</w:t>
      </w:r>
    </w:p>
    <w:p w:rsidR="00C51853" w:rsidRPr="005760D4" w:rsidRDefault="00C51853" w:rsidP="00B17D7B">
      <w:pPr>
        <w:spacing w:line="240" w:lineRule="exact"/>
      </w:pPr>
      <w:r w:rsidRPr="005760D4">
        <w:t>Un’apposita sezione del corso, costituita da un ciclo organico di esercitazioni, è inoltre dedicata a favorire il consolidamento dell’apprendimento della logica delle rilevazioni contabili e del metodo della partita doppia.</w:t>
      </w:r>
    </w:p>
    <w:p w:rsidR="00C51853" w:rsidRPr="005760D4" w:rsidRDefault="00C51853" w:rsidP="00B17D7B">
      <w:pPr>
        <w:spacing w:line="240" w:lineRule="exact"/>
      </w:pPr>
      <w:r w:rsidRPr="005760D4">
        <w:t xml:space="preserve">Specifici riferimenti saranno effettuati ai sistemi di rendicontazione economica, patrimoniale e finanziaria nell’ambito delle organizzazioni operanti nel settore dei beni culturali e dello spettacolo anche mediante testimonianze in aula, discussione di casi di studio e sviluppo di specifici </w:t>
      </w:r>
      <w:r w:rsidRPr="005760D4">
        <w:rPr>
          <w:i/>
        </w:rPr>
        <w:t>project work</w:t>
      </w:r>
      <w:r w:rsidRPr="005760D4">
        <w:t>.</w:t>
      </w:r>
    </w:p>
    <w:p w:rsidR="00C51853" w:rsidRPr="00B17D7B" w:rsidRDefault="00C51853" w:rsidP="00B17D7B">
      <w:pPr>
        <w:spacing w:before="240" w:after="120"/>
        <w:rPr>
          <w:b/>
          <w:i/>
          <w:sz w:val="18"/>
        </w:rPr>
      </w:pPr>
      <w:r>
        <w:rPr>
          <w:b/>
          <w:i/>
          <w:sz w:val="18"/>
        </w:rPr>
        <w:t>BIBLIOGRAFIA</w:t>
      </w:r>
      <w:r w:rsidR="00A04915">
        <w:rPr>
          <w:rStyle w:val="Rimandonotaapidipagina"/>
          <w:b/>
          <w:i/>
          <w:sz w:val="18"/>
        </w:rPr>
        <w:footnoteReference w:id="1"/>
      </w:r>
    </w:p>
    <w:p w:rsidR="00C51853" w:rsidRPr="00B17D7B" w:rsidRDefault="00C51853" w:rsidP="00B17D7B">
      <w:pPr>
        <w:pStyle w:val="Testo1"/>
      </w:pPr>
      <w:r w:rsidRPr="00B17D7B">
        <w:t>AA.VV.</w:t>
      </w:r>
      <w:r w:rsidR="00B17D7B">
        <w:t>,</w:t>
      </w:r>
      <w:r w:rsidRPr="00B17D7B">
        <w:t xml:space="preserve"> </w:t>
      </w:r>
      <w:r w:rsidRPr="00B17D7B">
        <w:rPr>
          <w:i/>
        </w:rPr>
        <w:t>Dispensa di Metodologie e determinazioni quantitative di azienda. Raccolta di materiali didattici</w:t>
      </w:r>
      <w:r w:rsidRPr="00B17D7B">
        <w:t>, 20</w:t>
      </w:r>
      <w:r w:rsidR="00467D49">
        <w:t>20</w:t>
      </w:r>
      <w:r w:rsidRPr="00B17D7B">
        <w:t>.</w:t>
      </w:r>
      <w:r w:rsidR="00A04915">
        <w:t xml:space="preserve"> </w:t>
      </w:r>
      <w:hyperlink r:id="rId9" w:history="1">
        <w:r w:rsidR="00A04915" w:rsidRPr="00A04915">
          <w:rPr>
            <w:rStyle w:val="Collegamentoipertestuale"/>
            <w:rFonts w:ascii="Times New Roman" w:hAnsi="Times New Roman"/>
            <w:i/>
            <w:sz w:val="16"/>
            <w:szCs w:val="16"/>
          </w:rPr>
          <w:t>Acquista da VP</w:t>
        </w:r>
      </w:hyperlink>
      <w:bookmarkStart w:id="0" w:name="_GoBack"/>
      <w:bookmarkEnd w:id="0"/>
    </w:p>
    <w:p w:rsidR="00C51853" w:rsidRPr="00C51853" w:rsidRDefault="00C51853" w:rsidP="00C0572F">
      <w:pPr>
        <w:pStyle w:val="Testo1"/>
        <w:spacing w:before="0"/>
      </w:pPr>
      <w:r w:rsidRPr="00C0572F">
        <w:rPr>
          <w:i/>
        </w:rPr>
        <w:t>Note didattiche di contabilità</w:t>
      </w:r>
      <w:r w:rsidRPr="00C51853">
        <w:t xml:space="preserve">, disponibili esclusivamente su </w:t>
      </w:r>
      <w:r w:rsidRPr="00C0572F">
        <w:rPr>
          <w:i/>
        </w:rPr>
        <w:t>Blackboard.</w:t>
      </w:r>
    </w:p>
    <w:p w:rsidR="00C51853" w:rsidRPr="00C51853" w:rsidRDefault="00C51853" w:rsidP="00C51853">
      <w:pPr>
        <w:pStyle w:val="Testo1"/>
      </w:pPr>
      <w:r w:rsidRPr="00C51853">
        <w:t xml:space="preserve">Durante il ciclo delle lezioni, nella piattaforma </w:t>
      </w:r>
      <w:r w:rsidRPr="00C0572F">
        <w:rPr>
          <w:i/>
        </w:rPr>
        <w:t>B</w:t>
      </w:r>
      <w:r w:rsidR="00C0572F" w:rsidRPr="00C0572F">
        <w:rPr>
          <w:i/>
        </w:rPr>
        <w:t>l</w:t>
      </w:r>
      <w:r w:rsidRPr="00C0572F">
        <w:rPr>
          <w:i/>
        </w:rPr>
        <w:t xml:space="preserve">ackboard </w:t>
      </w:r>
      <w:r w:rsidRPr="00C51853">
        <w:t>dell’Università Cattolica, sarà reso via via disponibile materiale didattico aggiuntivo, riferimenti bibliografici e letture consigliate al fine di favorire l’apprendimento da parte dello studente.</w:t>
      </w:r>
    </w:p>
    <w:p w:rsidR="00C51853" w:rsidRDefault="00C51853" w:rsidP="00C51853">
      <w:pPr>
        <w:spacing w:before="240" w:after="120"/>
        <w:rPr>
          <w:b/>
          <w:i/>
          <w:sz w:val="18"/>
        </w:rPr>
      </w:pPr>
      <w:r>
        <w:rPr>
          <w:b/>
          <w:i/>
          <w:sz w:val="18"/>
        </w:rPr>
        <w:t>DIDATTICA DEL CORSO</w:t>
      </w:r>
    </w:p>
    <w:p w:rsidR="00C51853" w:rsidRPr="00C0572F" w:rsidRDefault="00C51853" w:rsidP="00C0572F">
      <w:pPr>
        <w:pStyle w:val="Testo2"/>
      </w:pPr>
      <w:r w:rsidRPr="00C0572F">
        <w:t>Il metodo didattico impiegato nel corso si fonda largamente su lezioni frontali finalizzate a trasmettere i concetti di base, la logica e il metodo necessari per la redazione e l’interpretazione del bilancio di esercizio. Il lavoro sviluppato nelle lezioni è destinato a trovare completamento nel ciclo organico di esercitazioni finalizzate a consolidare l’apprendimento della logica delle rilevazioni contabili e del metodo della partita doppia.</w:t>
      </w:r>
    </w:p>
    <w:p w:rsidR="00C51853" w:rsidRDefault="00C51853" w:rsidP="00C51853">
      <w:pPr>
        <w:spacing w:before="240" w:after="120"/>
        <w:rPr>
          <w:b/>
          <w:i/>
          <w:sz w:val="18"/>
        </w:rPr>
      </w:pPr>
      <w:r>
        <w:rPr>
          <w:b/>
          <w:i/>
          <w:sz w:val="18"/>
        </w:rPr>
        <w:t>METODO E CRITERI DI VALUTAZIONE</w:t>
      </w:r>
    </w:p>
    <w:p w:rsidR="00C51853" w:rsidRPr="00C51853" w:rsidRDefault="00C51853" w:rsidP="00C51853">
      <w:pPr>
        <w:pStyle w:val="Testo2"/>
      </w:pPr>
      <w:r w:rsidRPr="00C51853">
        <w:t xml:space="preserve">L’esame di profitto relativo all’insegnamento di </w:t>
      </w:r>
      <w:r w:rsidRPr="00C0572F">
        <w:rPr>
          <w:i/>
        </w:rPr>
        <w:t>Metodologie e determinazioni quantitative di azienda</w:t>
      </w:r>
      <w:r w:rsidRPr="00C51853">
        <w:t xml:space="preserve"> si svolge in forma scritta, mediante una prova:</w:t>
      </w:r>
    </w:p>
    <w:p w:rsidR="00C51853" w:rsidRPr="00C51853" w:rsidRDefault="00C51853" w:rsidP="00B17D7B">
      <w:pPr>
        <w:pStyle w:val="Testo2"/>
        <w:ind w:left="567" w:hanging="283"/>
      </w:pPr>
      <w:r w:rsidRPr="00C51853">
        <w:t>–</w:t>
      </w:r>
      <w:r w:rsidRPr="00C51853">
        <w:tab/>
        <w:t>volta ad accertare la conoscenza della logica delle rilevazioni contabili e del metodo della partita doppia (parte applicativa);</w:t>
      </w:r>
    </w:p>
    <w:p w:rsidR="00C51853" w:rsidRPr="00C51853" w:rsidRDefault="00C51853" w:rsidP="00B17D7B">
      <w:pPr>
        <w:pStyle w:val="Testo2"/>
        <w:ind w:left="567" w:hanging="283"/>
      </w:pPr>
      <w:r w:rsidRPr="00C51853">
        <w:t>–</w:t>
      </w:r>
      <w:r w:rsidRPr="00C51853">
        <w:tab/>
        <w:t>finalizzata a valutare la conoscenza degli altri argomenti indicati nel programma del corso (parte teorica).</w:t>
      </w:r>
    </w:p>
    <w:p w:rsidR="00C51853" w:rsidRPr="00C51853" w:rsidRDefault="00C51853" w:rsidP="00B17D7B">
      <w:pPr>
        <w:pStyle w:val="Testo2"/>
        <w:ind w:left="567" w:hanging="283"/>
      </w:pPr>
      <w:r w:rsidRPr="00C51853">
        <w:t>Per gli studenti è prevista la possibilità di suddividere l’esame in due prove:</w:t>
      </w:r>
    </w:p>
    <w:p w:rsidR="00C51853" w:rsidRPr="00C51853" w:rsidRDefault="00C51853" w:rsidP="00B17D7B">
      <w:pPr>
        <w:pStyle w:val="Testo2"/>
        <w:ind w:left="567" w:hanging="283"/>
      </w:pPr>
      <w:r w:rsidRPr="00C51853">
        <w:t>–</w:t>
      </w:r>
      <w:r w:rsidRPr="00C51853">
        <w:tab/>
        <w:t>una prova intermedia, che si svolgerà a metà del semestre e verterà sul contenuto delle prime due parti del corso;</w:t>
      </w:r>
    </w:p>
    <w:p w:rsidR="00C51853" w:rsidRPr="00C51853" w:rsidRDefault="00C51853" w:rsidP="00B17D7B">
      <w:pPr>
        <w:pStyle w:val="Testo2"/>
        <w:ind w:left="567" w:hanging="283"/>
      </w:pPr>
      <w:r w:rsidRPr="00C51853">
        <w:t>–</w:t>
      </w:r>
      <w:r w:rsidRPr="00C51853">
        <w:tab/>
        <w:t>una prova finale.</w:t>
      </w:r>
    </w:p>
    <w:p w:rsidR="00C51853" w:rsidRPr="00C51853" w:rsidRDefault="00C51853" w:rsidP="00C51853">
      <w:pPr>
        <w:pStyle w:val="Testo2"/>
      </w:pPr>
      <w:r w:rsidRPr="00C51853">
        <w:lastRenderedPageBreak/>
        <w:t xml:space="preserve">La prova intermedia, se sufficiente, ha validità limitata alla sola sessione di esame di gennaio-febbraio </w:t>
      </w:r>
      <w:r w:rsidR="00467D49">
        <w:t>2021</w:t>
      </w:r>
      <w:r w:rsidRPr="00C51853">
        <w:t>.</w:t>
      </w:r>
    </w:p>
    <w:p w:rsidR="00C51853" w:rsidRPr="00C51853" w:rsidRDefault="00C51853" w:rsidP="00C51853">
      <w:pPr>
        <w:pStyle w:val="Testo2"/>
      </w:pPr>
      <w:r w:rsidRPr="00C51853">
        <w:t xml:space="preserve">Se lo studente non sostiene con esito sufficiente la prova finale nel corso della sessione di esame di gennaio-febbraio </w:t>
      </w:r>
      <w:r w:rsidR="00467D49">
        <w:t>2021</w:t>
      </w:r>
      <w:r w:rsidRPr="00C51853">
        <w:t>, la prova intermedia perde ogni validità e lo studente deve sostenere l'esame integralmente.</w:t>
      </w:r>
    </w:p>
    <w:p w:rsidR="00C51853" w:rsidRPr="00C51853" w:rsidRDefault="00C51853" w:rsidP="00C51853">
      <w:pPr>
        <w:pStyle w:val="Testo2"/>
      </w:pPr>
      <w:r w:rsidRPr="00C51853">
        <w:t xml:space="preserve">Nel corso della sessione di esame di gennaio-febbraio </w:t>
      </w:r>
      <w:r w:rsidR="00467D49">
        <w:t>2021</w:t>
      </w:r>
      <w:r w:rsidRPr="00C51853">
        <w:t xml:space="preserve"> lo studente può sostenere la prova finale una sola volta. Una valutazione insufficiente nella prova finale comporta l’annullamento della prova intermedia e la necessità di sostenere la prova finale. La prova intermedia viene annullata anche nel caso in cui lo studente, per sottoporsi a una valutazione indipendente dalla prova intermedia, decida di sostenere l'esame in forma integrale (rispondendo a tutte le domande in esso contenute).</w:t>
      </w:r>
    </w:p>
    <w:p w:rsidR="00C51853" w:rsidRPr="00C51853" w:rsidRDefault="00C51853" w:rsidP="00C51853">
      <w:pPr>
        <w:pStyle w:val="Testo2"/>
      </w:pPr>
      <w:r w:rsidRPr="00C51853">
        <w:t xml:space="preserve">La valutazione insufficiente nella prova scritta finale non comporta invece l’annullamento della prova scritta intermedia; essa manterrà la propria validità per gli appelli d’esame della sessione di gennaio/febbraio </w:t>
      </w:r>
      <w:r w:rsidR="00467D49">
        <w:t>2021</w:t>
      </w:r>
      <w:r w:rsidRPr="00C51853">
        <w:t>. Dopo tale sessione, il voto conseguito nella prova intermedia perde la sua validità e lo studente do</w:t>
      </w:r>
      <w:r w:rsidR="00B17D7B">
        <w:t>vrà sostenere l’esame completo.</w:t>
      </w:r>
      <w:r w:rsidRPr="00C51853">
        <w:t xml:space="preserve"> La prova intermedia perderà inoltre la propria validità qualora lo studente decida di sostenere l’esame in forma integrale.</w:t>
      </w:r>
    </w:p>
    <w:p w:rsidR="00C51853" w:rsidRPr="00C51853" w:rsidRDefault="00C51853" w:rsidP="00C51853">
      <w:pPr>
        <w:pStyle w:val="Testo2"/>
      </w:pPr>
      <w:r w:rsidRPr="00C51853">
        <w:t>Per lo studente che decida di sostenere la prova intermedia, il voto finale dell’esame è definito in base alla media ponderata tra il voto della prova intermedia (che pesa per il 40%) e il voto della prova finale (che pesa per il 60%).</w:t>
      </w:r>
    </w:p>
    <w:p w:rsidR="00C51853" w:rsidRPr="00C51853" w:rsidRDefault="00C51853" w:rsidP="00C51853">
      <w:pPr>
        <w:pStyle w:val="Testo2"/>
      </w:pPr>
      <w:r w:rsidRPr="00C51853">
        <w:t>Il programma analitico del corso ed ulteriori indicazioni relative al metodo di valutazione sono disponibili nella piattaforma Blackboard dell’Università Cattolica.</w:t>
      </w:r>
    </w:p>
    <w:p w:rsidR="00C51853" w:rsidRPr="00C51853" w:rsidRDefault="00C51853" w:rsidP="00C51853">
      <w:pPr>
        <w:pStyle w:val="Testo2"/>
      </w:pPr>
      <w:r w:rsidRPr="00C51853">
        <w:t>La frequenza alle lezioni, alle esercitazioni e alle altre attività didattiche previste è vivamente consigliata.</w:t>
      </w:r>
    </w:p>
    <w:p w:rsidR="00C51853" w:rsidRDefault="00C51853" w:rsidP="00C51853">
      <w:pPr>
        <w:spacing w:before="240" w:after="120" w:line="240" w:lineRule="exact"/>
        <w:rPr>
          <w:b/>
          <w:i/>
          <w:sz w:val="18"/>
        </w:rPr>
      </w:pPr>
      <w:r>
        <w:rPr>
          <w:b/>
          <w:i/>
          <w:sz w:val="18"/>
        </w:rPr>
        <w:t>AVVERTENZE E PREREQUISITI</w:t>
      </w:r>
    </w:p>
    <w:p w:rsidR="00C51853" w:rsidRDefault="00C51853" w:rsidP="00C51853">
      <w:pPr>
        <w:pStyle w:val="Testo2"/>
      </w:pPr>
      <w:r w:rsidRPr="00383C8B">
        <w:t xml:space="preserve">La conoscenza e la capacità di applicazione della logica delle rilevazioni contabili e del metodo di raccolta e classificazione dei valori, tanto nelle rilevazioni contabili elementari </w:t>
      </w:r>
      <w:r w:rsidRPr="00C51853">
        <w:t>quanto nella costruzione delle tavole di sintesi, sono prerequisiti essenziali.</w:t>
      </w:r>
    </w:p>
    <w:p w:rsidR="00D169EA" w:rsidRDefault="00D169EA" w:rsidP="00D169EA">
      <w:pPr>
        <w:spacing w:before="120"/>
        <w:ind w:firstLine="284"/>
        <w:rPr>
          <w:i/>
          <w:iCs/>
          <w:color w:val="000000"/>
          <w:sz w:val="18"/>
          <w:szCs w:val="18"/>
        </w:rPr>
      </w:pPr>
      <w:r>
        <w:rPr>
          <w:i/>
          <w:iCs/>
          <w:color w:val="000000"/>
          <w:sz w:val="18"/>
          <w:szCs w:val="18"/>
        </w:rPr>
        <w:t xml:space="preserve">Nel caso in cui la situazione sanitaria relativa alla pandemia di Covid-19 non dovesse consentire la didattica in presenza, sarà garantita l’erogazione dell’insegnamento in </w:t>
      </w:r>
      <w:proofErr w:type="spellStart"/>
      <w:r>
        <w:rPr>
          <w:i/>
          <w:iCs/>
          <w:color w:val="000000"/>
          <w:sz w:val="18"/>
          <w:szCs w:val="18"/>
        </w:rPr>
        <w:t>distance</w:t>
      </w:r>
      <w:proofErr w:type="spellEnd"/>
      <w:r>
        <w:rPr>
          <w:i/>
          <w:iCs/>
          <w:color w:val="000000"/>
          <w:sz w:val="18"/>
          <w:szCs w:val="18"/>
        </w:rPr>
        <w:t xml:space="preserve"> </w:t>
      </w:r>
      <w:proofErr w:type="spellStart"/>
      <w:r>
        <w:rPr>
          <w:i/>
          <w:iCs/>
          <w:color w:val="000000"/>
          <w:sz w:val="18"/>
          <w:szCs w:val="18"/>
        </w:rPr>
        <w:t>learning</w:t>
      </w:r>
      <w:proofErr w:type="spellEnd"/>
      <w:r>
        <w:rPr>
          <w:rFonts w:ascii="Gill Sans MT" w:hAnsi="Gill Sans MT" w:cs="Open Sans"/>
          <w:i/>
          <w:iCs/>
          <w:color w:val="000000"/>
          <w:sz w:val="18"/>
          <w:szCs w:val="18"/>
        </w:rPr>
        <w:t> </w:t>
      </w:r>
      <w:r>
        <w:rPr>
          <w:i/>
          <w:iCs/>
          <w:color w:val="000000"/>
          <w:sz w:val="18"/>
          <w:szCs w:val="18"/>
        </w:rPr>
        <w:t>con modalità che verranno comunicate in tempo utile agli studenti.</w:t>
      </w:r>
    </w:p>
    <w:p w:rsidR="00C51853" w:rsidRPr="00C51853" w:rsidRDefault="00C51853" w:rsidP="00C51853">
      <w:pPr>
        <w:pStyle w:val="Testo2"/>
        <w:spacing w:before="120"/>
        <w:rPr>
          <w:i/>
        </w:rPr>
      </w:pPr>
      <w:r w:rsidRPr="00C51853">
        <w:rPr>
          <w:i/>
        </w:rPr>
        <w:t>Orario e luogo di ricevimento</w:t>
      </w:r>
    </w:p>
    <w:p w:rsidR="00C51853" w:rsidRPr="00C51853" w:rsidRDefault="00C51853" w:rsidP="00C51853">
      <w:pPr>
        <w:pStyle w:val="Testo2"/>
      </w:pPr>
      <w:r w:rsidRPr="00C51853">
        <w:t>Il Prof. Claudio Sottoriva comunicherà a lezione l’orario di ricevimento degli studenti che si terrà presso il Dipartimento di Scienze dell’Economia e della Gestione Aziendale – Via Ludovico Necchi, 9 – Uff. 202 – 20123 Milano</w:t>
      </w:r>
      <w:r>
        <w:t>.</w:t>
      </w:r>
    </w:p>
    <w:sectPr w:rsidR="00C51853" w:rsidRPr="00C518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15" w:rsidRDefault="00A04915" w:rsidP="00A04915">
      <w:pPr>
        <w:spacing w:line="240" w:lineRule="auto"/>
      </w:pPr>
      <w:r>
        <w:separator/>
      </w:r>
    </w:p>
  </w:endnote>
  <w:endnote w:type="continuationSeparator" w:id="0">
    <w:p w:rsidR="00A04915" w:rsidRDefault="00A04915" w:rsidP="00A04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15" w:rsidRDefault="00A04915" w:rsidP="00A04915">
      <w:pPr>
        <w:spacing w:line="240" w:lineRule="auto"/>
      </w:pPr>
      <w:r>
        <w:separator/>
      </w:r>
    </w:p>
  </w:footnote>
  <w:footnote w:type="continuationSeparator" w:id="0">
    <w:p w:rsidR="00A04915" w:rsidRDefault="00A04915" w:rsidP="00A04915">
      <w:pPr>
        <w:spacing w:line="240" w:lineRule="auto"/>
      </w:pPr>
      <w:r>
        <w:continuationSeparator/>
      </w:r>
    </w:p>
  </w:footnote>
  <w:footnote w:id="1">
    <w:p w:rsidR="00A04915" w:rsidRDefault="00A04915">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930"/>
    <w:multiLevelType w:val="hybridMultilevel"/>
    <w:tmpl w:val="DF3A646E"/>
    <w:lvl w:ilvl="0" w:tplc="409AB7A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C611B4"/>
    <w:multiLevelType w:val="hybridMultilevel"/>
    <w:tmpl w:val="D606643E"/>
    <w:lvl w:ilvl="0" w:tplc="FE9EC27E">
      <w:start w:val="3"/>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853"/>
    <w:rsid w:val="00062580"/>
    <w:rsid w:val="00187B99"/>
    <w:rsid w:val="002014DD"/>
    <w:rsid w:val="002D5E17"/>
    <w:rsid w:val="00467D49"/>
    <w:rsid w:val="004D1217"/>
    <w:rsid w:val="004D6008"/>
    <w:rsid w:val="00640794"/>
    <w:rsid w:val="006F1772"/>
    <w:rsid w:val="008942E7"/>
    <w:rsid w:val="008A1204"/>
    <w:rsid w:val="00900CCA"/>
    <w:rsid w:val="00924B77"/>
    <w:rsid w:val="00940DA2"/>
    <w:rsid w:val="009C7446"/>
    <w:rsid w:val="009E055C"/>
    <w:rsid w:val="00A04915"/>
    <w:rsid w:val="00A74F6F"/>
    <w:rsid w:val="00AD7557"/>
    <w:rsid w:val="00B17D7B"/>
    <w:rsid w:val="00B50C5D"/>
    <w:rsid w:val="00B51253"/>
    <w:rsid w:val="00B525CC"/>
    <w:rsid w:val="00C0572F"/>
    <w:rsid w:val="00C51853"/>
    <w:rsid w:val="00D169EA"/>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5185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semiHidden/>
    <w:unhideWhenUsed/>
    <w:rsid w:val="00A0491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04915"/>
  </w:style>
  <w:style w:type="character" w:styleId="Rimandonotaapidipagina">
    <w:name w:val="footnote reference"/>
    <w:basedOn w:val="Carpredefinitoparagrafo"/>
    <w:semiHidden/>
    <w:unhideWhenUsed/>
    <w:rsid w:val="00A04915"/>
    <w:rPr>
      <w:vertAlign w:val="superscript"/>
    </w:rPr>
  </w:style>
  <w:style w:type="character" w:styleId="Collegamentoipertestuale">
    <w:name w:val="Hyperlink"/>
    <w:basedOn w:val="Carpredefinitoparagrafo"/>
    <w:unhideWhenUsed/>
    <w:rsid w:val="00A049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51853"/>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semiHidden/>
    <w:unhideWhenUsed/>
    <w:rsid w:val="00A0491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04915"/>
  </w:style>
  <w:style w:type="character" w:styleId="Rimandonotaapidipagina">
    <w:name w:val="footnote reference"/>
    <w:basedOn w:val="Carpredefinitoparagrafo"/>
    <w:semiHidden/>
    <w:unhideWhenUsed/>
    <w:rsid w:val="00A04915"/>
    <w:rPr>
      <w:vertAlign w:val="superscript"/>
    </w:rPr>
  </w:style>
  <w:style w:type="character" w:styleId="Collegamentoipertestuale">
    <w:name w:val="Hyperlink"/>
    <w:basedOn w:val="Carpredefinitoparagrafo"/>
    <w:unhideWhenUsed/>
    <w:rsid w:val="00A04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grumo/metodologie-e-determinazioni-quantitative-daziend-8881020000452-675866.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7DDE-9894-4667-9439-A7EC9695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6109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2020-05-28T08:29:00Z</dcterms:created>
  <dcterms:modified xsi:type="dcterms:W3CDTF">2020-07-03T14:15:00Z</dcterms:modified>
</cp:coreProperties>
</file>