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07" w:rsidRDefault="00081A07" w:rsidP="00081A07">
      <w:pPr>
        <w:pStyle w:val="Titolo1"/>
      </w:pPr>
      <w:r>
        <w:t>Legislazione nazionale e internazionale dei beni culturali e dello spettacolo</w:t>
      </w:r>
    </w:p>
    <w:p w:rsidR="00081A07" w:rsidRDefault="00081A07" w:rsidP="00081A07">
      <w:pPr>
        <w:pStyle w:val="Titolo2"/>
      </w:pPr>
      <w:r>
        <w:t>Prof. Stefano Lombardi; Prof. Maurizio Frittelli</w:t>
      </w:r>
    </w:p>
    <w:p w:rsidR="00FD6C6C" w:rsidRDefault="00FD6C6C" w:rsidP="00FD6C6C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357ED4" w:rsidRDefault="00081A07" w:rsidP="00357ED4">
      <w:r w:rsidRPr="00142815">
        <w:t>Il corso intende fornire una visione istituzionale ed amministrativa della legislazione nazionale ed internazionale applicabile ai beni ed alle attività culturali, anche in prospettiva museale e di spettacolo, avendo di riferimento la normativa pubblicistica e privatistica, nonché il Codice dei Beni Culturali e del Paesaggio il tutto nel più ampio contesto della legislazione europea, confrontando l'esperienza italiana con quella di alcuni a</w:t>
      </w:r>
      <w:r w:rsidR="00357ED4">
        <w:t>ltri paesi dell'Unione Europea.</w:t>
      </w:r>
      <w:r w:rsidR="00357ED4" w:rsidRPr="00357ED4">
        <w:t xml:space="preserve"> </w:t>
      </w:r>
      <w:r w:rsidR="00357ED4">
        <w:t>L’obbiettivo che ci continuiamo a porre è quello di cercare il più chiaro e consapevole orientamento possibile sui temi legislativi legati al mondo culturale.</w:t>
      </w:r>
    </w:p>
    <w:p w:rsidR="00081A07" w:rsidRPr="00357ED4" w:rsidRDefault="00357ED4" w:rsidP="00081A07">
      <w:pPr>
        <w:rPr>
          <w:b/>
          <w:i/>
          <w:sz w:val="18"/>
        </w:rPr>
      </w:pPr>
      <w:r>
        <w:t>Tutto questo utilizzando un linguaggio semplice e degli esempi concreti per studenti che possono non essere attrezzati sotto un profilo giuridico.</w:t>
      </w:r>
    </w:p>
    <w:p w:rsidR="00081A07" w:rsidRDefault="00081A07" w:rsidP="00081A0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81A07" w:rsidRPr="00142815" w:rsidRDefault="00081A07" w:rsidP="00081A07">
      <w:r w:rsidRPr="00FC59D0">
        <w:rPr>
          <w:smallCaps/>
          <w:noProof/>
          <w:sz w:val="18"/>
          <w:szCs w:val="20"/>
        </w:rPr>
        <w:t>P</w:t>
      </w:r>
      <w:r>
        <w:rPr>
          <w:smallCaps/>
          <w:noProof/>
          <w:sz w:val="18"/>
          <w:szCs w:val="20"/>
        </w:rPr>
        <w:t>arte Generale</w:t>
      </w:r>
      <w:r w:rsidRPr="00FC59D0">
        <w:rPr>
          <w:smallCaps/>
          <w:noProof/>
          <w:sz w:val="18"/>
          <w:szCs w:val="20"/>
        </w:rPr>
        <w:t xml:space="preserve">: </w:t>
      </w:r>
      <w:r w:rsidRPr="00142815">
        <w:rPr>
          <w:i/>
        </w:rPr>
        <w:t>Prof. Stefano Lombardi</w:t>
      </w:r>
    </w:p>
    <w:p w:rsidR="00081A07" w:rsidRPr="00142815" w:rsidRDefault="00081A07" w:rsidP="00081A07">
      <w:r w:rsidRPr="00142815">
        <w:t>Definizione di ente pubblico. La funzione della pubblica amministrazione nel quadro costituzionale e nel codice dei beni culturali:</w:t>
      </w:r>
      <w:r>
        <w:t xml:space="preserve"> </w:t>
      </w:r>
      <w:r w:rsidRPr="00142815">
        <w:t>cenni sulla definizione di personalità giuridica di diritto</w:t>
      </w:r>
      <w:r>
        <w:t xml:space="preserve"> pubblico e di diritto privato.</w:t>
      </w:r>
    </w:p>
    <w:p w:rsidR="00081A07" w:rsidRPr="00142815" w:rsidRDefault="00081A07" w:rsidP="00081A07">
      <w:pPr>
        <w:ind w:left="284" w:hanging="284"/>
      </w:pPr>
      <w:r>
        <w:t>1.</w:t>
      </w:r>
      <w:r w:rsidRPr="00142815">
        <w:tab/>
        <w:t xml:space="preserve">I beni culturali nel quadro costituzionale </w:t>
      </w:r>
      <w:r>
        <w:t>e nella normativa pubblicistica;</w:t>
      </w:r>
    </w:p>
    <w:p w:rsidR="00081A07" w:rsidRPr="00142815" w:rsidRDefault="00081A07" w:rsidP="00081A07">
      <w:pPr>
        <w:tabs>
          <w:tab w:val="left" w:pos="567"/>
        </w:tabs>
        <w:ind w:left="284" w:hanging="284"/>
      </w:pPr>
      <w:r>
        <w:t>2.</w:t>
      </w:r>
      <w:r>
        <w:tab/>
        <w:t>i</w:t>
      </w:r>
      <w:r w:rsidRPr="00142815">
        <w:t>l Testo Unico E</w:t>
      </w:r>
      <w:r>
        <w:t>nti Locali (</w:t>
      </w:r>
      <w:proofErr w:type="spellStart"/>
      <w:r>
        <w:t>D.Lgs.</w:t>
      </w:r>
      <w:proofErr w:type="spellEnd"/>
      <w:r>
        <w:t xml:space="preserve"> 267/2000) e </w:t>
      </w:r>
      <w:r w:rsidRPr="00142815">
        <w:t>le principali competenze degli Enti Locali</w:t>
      </w:r>
      <w:r>
        <w:t xml:space="preserve"> nell’ambito dei beni culturali;</w:t>
      </w:r>
    </w:p>
    <w:p w:rsidR="00081A07" w:rsidRPr="00142815" w:rsidRDefault="00081A07" w:rsidP="00081A07">
      <w:pPr>
        <w:ind w:left="284" w:hanging="284"/>
      </w:pPr>
      <w:r>
        <w:t>3.</w:t>
      </w:r>
      <w:r>
        <w:tab/>
        <w:t>l</w:t>
      </w:r>
      <w:r w:rsidRPr="00142815">
        <w:t>’amministrazione centrale dello Stato con particolare riferimento alle competenze nella materia dei beni culturali</w:t>
      </w:r>
      <w:r>
        <w:t>;</w:t>
      </w:r>
    </w:p>
    <w:p w:rsidR="00081A07" w:rsidRPr="00142815" w:rsidRDefault="00081A07" w:rsidP="00081A07">
      <w:pPr>
        <w:ind w:left="284" w:hanging="284"/>
      </w:pPr>
      <w:r>
        <w:t>4.</w:t>
      </w:r>
      <w:r>
        <w:tab/>
        <w:t>i</w:t>
      </w:r>
      <w:r w:rsidRPr="00142815">
        <w:t xml:space="preserve">l sistema </w:t>
      </w:r>
      <w:proofErr w:type="spellStart"/>
      <w:r w:rsidRPr="00142815">
        <w:t>concessorio</w:t>
      </w:r>
      <w:proofErr w:type="spellEnd"/>
      <w:r w:rsidRPr="00142815">
        <w:t>: licenze, concessioni, autorizzazioni ed ulteriori atti ammin</w:t>
      </w:r>
      <w:r>
        <w:t xml:space="preserve">istrativi di natura </w:t>
      </w:r>
      <w:proofErr w:type="spellStart"/>
      <w:r>
        <w:t>concessoria</w:t>
      </w:r>
      <w:proofErr w:type="spellEnd"/>
      <w:r>
        <w:t>, con particolare riferimento all’ambito dei beni culturali;</w:t>
      </w:r>
    </w:p>
    <w:p w:rsidR="00081A07" w:rsidRDefault="00081A07" w:rsidP="00081A07">
      <w:pPr>
        <w:ind w:left="284" w:hanging="284"/>
      </w:pPr>
      <w:r>
        <w:t>5.</w:t>
      </w:r>
      <w:r>
        <w:tab/>
        <w:t>c</w:t>
      </w:r>
      <w:r w:rsidRPr="00142815">
        <w:t>oncetto di procedu</w:t>
      </w:r>
      <w:r>
        <w:t xml:space="preserve">ra di evidenza pubblica nell’ambito della </w:t>
      </w:r>
      <w:r w:rsidRPr="00142815">
        <w:t>valorizzazi</w:t>
      </w:r>
      <w:r>
        <w:t>one dei beni culturali pubblici;</w:t>
      </w:r>
    </w:p>
    <w:p w:rsidR="00081A07" w:rsidRDefault="00081A07" w:rsidP="00081A07">
      <w:pPr>
        <w:ind w:left="284" w:hanging="284"/>
      </w:pPr>
      <w:r>
        <w:t>6.</w:t>
      </w:r>
      <w:r>
        <w:tab/>
        <w:t>il rapporto di lavoro nel pubblico impiego, con particolare riferimento ai beni culturali;</w:t>
      </w:r>
    </w:p>
    <w:p w:rsidR="00081A07" w:rsidRDefault="00081A07" w:rsidP="00081A07">
      <w:pPr>
        <w:ind w:left="284" w:hanging="284"/>
      </w:pPr>
      <w:r>
        <w:t>7.</w:t>
      </w:r>
      <w:r>
        <w:tab/>
        <w:t>cenni sulla circolazione dei beni culturali in ambito internazionale;</w:t>
      </w:r>
    </w:p>
    <w:p w:rsidR="00081A07" w:rsidRPr="00A1340D" w:rsidRDefault="00081A07" w:rsidP="00081A07">
      <w:pPr>
        <w:ind w:left="284" w:hanging="284"/>
      </w:pPr>
      <w:r>
        <w:t>8.</w:t>
      </w:r>
      <w:r>
        <w:tab/>
        <w:t xml:space="preserve">cenni sulle Fondazioni nell’ambito dei beni Culturali. Nozione e finalità. Cenni sul sistema dei controlli interni. Il </w:t>
      </w:r>
      <w:proofErr w:type="spellStart"/>
      <w:r>
        <w:t>D.lgs</w:t>
      </w:r>
      <w:proofErr w:type="spellEnd"/>
      <w:r>
        <w:t xml:space="preserve"> 231/01.</w:t>
      </w:r>
    </w:p>
    <w:p w:rsidR="00357ED4" w:rsidRDefault="00081A07" w:rsidP="00357ED4">
      <w:pPr>
        <w:spacing w:before="1200"/>
        <w:rPr>
          <w:i/>
        </w:rPr>
      </w:pPr>
      <w:r>
        <w:rPr>
          <w:smallCaps/>
          <w:sz w:val="18"/>
        </w:rPr>
        <w:lastRenderedPageBreak/>
        <w:t>Parte Speciale in ordine alle gestione delle aziende e delle manifestazioni dei beni culturali dello spettacolo</w:t>
      </w:r>
      <w:r>
        <w:t xml:space="preserve">: </w:t>
      </w:r>
      <w:r w:rsidRPr="00DF450E">
        <w:rPr>
          <w:i/>
        </w:rPr>
        <w:t>P</w:t>
      </w:r>
      <w:r>
        <w:rPr>
          <w:i/>
        </w:rPr>
        <w:t>rof</w:t>
      </w:r>
      <w:r w:rsidRPr="00DF450E">
        <w:rPr>
          <w:i/>
        </w:rPr>
        <w:t>. M</w:t>
      </w:r>
      <w:r>
        <w:rPr>
          <w:i/>
        </w:rPr>
        <w:t>aurizio</w:t>
      </w:r>
      <w:r w:rsidRPr="00DF450E">
        <w:rPr>
          <w:i/>
        </w:rPr>
        <w:t xml:space="preserve"> </w:t>
      </w:r>
      <w:r>
        <w:rPr>
          <w:i/>
        </w:rPr>
        <w:t>Frittelli</w:t>
      </w:r>
    </w:p>
    <w:p w:rsidR="00357ED4" w:rsidRDefault="00357ED4" w:rsidP="00357ED4">
      <w:pPr>
        <w:ind w:left="284" w:hanging="284"/>
      </w:pPr>
      <w:r>
        <w:t>1.</w:t>
      </w:r>
      <w:r>
        <w:tab/>
        <w:t>Gli strumenti giuridici profit e non profit e la loro funzione nel mondo dei beni culturali e dello spettacolo. Il ruolo pubblico ed il ruolo privato.</w:t>
      </w:r>
    </w:p>
    <w:p w:rsidR="00357ED4" w:rsidRDefault="00357ED4" w:rsidP="00357ED4">
      <w:pPr>
        <w:ind w:left="284" w:hanging="284"/>
      </w:pPr>
      <w:r>
        <w:t>2.</w:t>
      </w:r>
      <w:r>
        <w:tab/>
        <w:t xml:space="preserve">Il rapporto di lavoro privatistico e nello spettacolo. I principi generali del diritto del lavoro. La subordinazione. Il lavoro autonomo. La </w:t>
      </w:r>
      <w:proofErr w:type="spellStart"/>
      <w:r>
        <w:t>parasubordinazione</w:t>
      </w:r>
      <w:proofErr w:type="spellEnd"/>
      <w:r>
        <w:t>: in particolare dal Co.co.co al Co.co.pro. I rapporti di lavoro occasionali. I profili previdenziali e l’ex Enpals.</w:t>
      </w:r>
    </w:p>
    <w:p w:rsidR="00357ED4" w:rsidRDefault="00357ED4" w:rsidP="00357ED4">
      <w:pPr>
        <w:ind w:left="284" w:hanging="284"/>
      </w:pPr>
      <w:r>
        <w:t>3.</w:t>
      </w:r>
      <w:r>
        <w:tab/>
        <w:t>Le opere dell’ingegno ed il diritto di autore. I principi. Lo sfruttamento economico. Il diritto morale di autore ed il copyright anglosassone. I diritti connessi di autore: in particolare la specifica figura degli interpreti e degli esecutori. La S.I.A.E.</w:t>
      </w:r>
    </w:p>
    <w:p w:rsidR="00357ED4" w:rsidRPr="00357ED4" w:rsidRDefault="00357ED4" w:rsidP="00357ED4">
      <w:pPr>
        <w:ind w:left="284" w:hanging="284"/>
        <w:rPr>
          <w:b/>
          <w:i/>
          <w:sz w:val="18"/>
        </w:rPr>
      </w:pPr>
      <w:r>
        <w:t>4.</w:t>
      </w:r>
      <w:r>
        <w:tab/>
        <w:t>I contratti dei beni culturali dello spettacolo. Inquadramento e funzione. Gli elementi essenziali. In particolare: i contratti di rappresentazione, di appalto, sponsorizzazioni e liberalità, il merchandising.</w:t>
      </w:r>
    </w:p>
    <w:p w:rsidR="00081A07" w:rsidRPr="00532C0D" w:rsidRDefault="00081A07" w:rsidP="00081A0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434AF">
        <w:rPr>
          <w:rStyle w:val="Rimandonotaapidipagina"/>
          <w:b/>
          <w:i/>
          <w:sz w:val="18"/>
        </w:rPr>
        <w:footnoteReference w:id="1"/>
      </w:r>
    </w:p>
    <w:p w:rsidR="00357ED4" w:rsidRPr="00215E95" w:rsidRDefault="00215E95" w:rsidP="00357ED4">
      <w:pPr>
        <w:jc w:val="left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spacing w:val="-5"/>
          <w:sz w:val="16"/>
        </w:rPr>
        <w:t xml:space="preserve">M.A. </w:t>
      </w:r>
      <w:proofErr w:type="spellStart"/>
      <w:r>
        <w:rPr>
          <w:rFonts w:ascii="Times" w:hAnsi="Times"/>
          <w:smallCaps/>
          <w:spacing w:val="-5"/>
          <w:sz w:val="16"/>
        </w:rPr>
        <w:t>Sandulli</w:t>
      </w:r>
      <w:proofErr w:type="spellEnd"/>
      <w:r>
        <w:rPr>
          <w:rFonts w:ascii="Times" w:hAnsi="Times"/>
          <w:smallCaps/>
          <w:spacing w:val="-5"/>
          <w:sz w:val="16"/>
        </w:rPr>
        <w:t xml:space="preserve">, </w:t>
      </w:r>
      <w:r w:rsidR="00357ED4" w:rsidRPr="00215E95">
        <w:rPr>
          <w:rFonts w:ascii="Times" w:hAnsi="Times"/>
          <w:i/>
          <w:noProof/>
          <w:spacing w:val="-5"/>
          <w:sz w:val="18"/>
          <w:szCs w:val="20"/>
        </w:rPr>
        <w:t>Il Codice B</w:t>
      </w:r>
      <w:r w:rsidRPr="00215E95">
        <w:rPr>
          <w:rFonts w:ascii="Times" w:hAnsi="Times"/>
          <w:i/>
          <w:noProof/>
          <w:spacing w:val="-5"/>
          <w:sz w:val="18"/>
          <w:szCs w:val="20"/>
        </w:rPr>
        <w:t>eni culturali e del paesaggio</w:t>
      </w:r>
      <w:r w:rsidRPr="00215E95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357ED4" w:rsidRPr="00215E95">
        <w:rPr>
          <w:rFonts w:ascii="Times" w:hAnsi="Times"/>
          <w:noProof/>
          <w:spacing w:val="-5"/>
          <w:sz w:val="18"/>
          <w:szCs w:val="20"/>
        </w:rPr>
        <w:t>Giuffr</w:t>
      </w:r>
      <w:r>
        <w:rPr>
          <w:rFonts w:ascii="Times" w:hAnsi="Times"/>
          <w:noProof/>
          <w:spacing w:val="-5"/>
          <w:sz w:val="18"/>
          <w:szCs w:val="20"/>
        </w:rPr>
        <w:t>è, ultima edizione.</w:t>
      </w:r>
    </w:p>
    <w:p w:rsidR="00081A07" w:rsidRPr="00081A07" w:rsidRDefault="00081A07" w:rsidP="00081A0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081A07">
        <w:rPr>
          <w:rFonts w:ascii="Times" w:hAnsi="Times"/>
          <w:smallCaps/>
          <w:noProof/>
          <w:spacing w:val="-5"/>
          <w:sz w:val="16"/>
          <w:szCs w:val="20"/>
        </w:rPr>
        <w:t>M.A. Sandulli,</w:t>
      </w:r>
      <w:r w:rsidRPr="00081A07">
        <w:rPr>
          <w:rFonts w:ascii="Times" w:hAnsi="Times"/>
          <w:i/>
          <w:noProof/>
          <w:spacing w:val="-5"/>
          <w:sz w:val="18"/>
          <w:szCs w:val="20"/>
        </w:rPr>
        <w:t xml:space="preserve"> Il Codice Beni culturali e del paesaggio,</w:t>
      </w:r>
      <w:r w:rsidRPr="00081A07">
        <w:rPr>
          <w:rFonts w:ascii="Times" w:hAnsi="Times"/>
          <w:noProof/>
          <w:spacing w:val="-5"/>
          <w:sz w:val="18"/>
          <w:szCs w:val="20"/>
        </w:rPr>
        <w:t xml:space="preserve"> Giuffrè, ultima edizione.</w:t>
      </w:r>
    </w:p>
    <w:p w:rsidR="00081A07" w:rsidRPr="00081A07" w:rsidRDefault="00081A07" w:rsidP="00081A07">
      <w:pPr>
        <w:pStyle w:val="Testo2"/>
        <w:spacing w:line="240" w:lineRule="atLeast"/>
        <w:ind w:left="284" w:hanging="284"/>
        <w:rPr>
          <w:spacing w:val="-5"/>
        </w:rPr>
      </w:pPr>
      <w:r w:rsidRPr="00081A07">
        <w:rPr>
          <w:smallCaps/>
          <w:spacing w:val="-5"/>
          <w:sz w:val="16"/>
        </w:rPr>
        <w:t>E. Casetta,</w:t>
      </w:r>
      <w:r w:rsidRPr="00081A07">
        <w:rPr>
          <w:i/>
          <w:spacing w:val="-5"/>
        </w:rPr>
        <w:t xml:space="preserve"> Manuale di diritto amministrativo,</w:t>
      </w:r>
      <w:r w:rsidRPr="00081A07">
        <w:rPr>
          <w:spacing w:val="-5"/>
        </w:rPr>
        <w:t>Giuffrè, 2016.</w:t>
      </w:r>
      <w:r w:rsidR="008434AF">
        <w:rPr>
          <w:spacing w:val="-5"/>
        </w:rPr>
        <w:t xml:space="preserve"> </w:t>
      </w:r>
      <w:hyperlink r:id="rId8" w:history="1">
        <w:r w:rsidR="008434AF" w:rsidRPr="008434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81A07" w:rsidRPr="00081A07" w:rsidRDefault="00081A07" w:rsidP="00081A07">
      <w:pPr>
        <w:pStyle w:val="Testo2"/>
        <w:spacing w:line="240" w:lineRule="atLeast"/>
        <w:ind w:left="284" w:hanging="284"/>
        <w:rPr>
          <w:spacing w:val="-5"/>
        </w:rPr>
      </w:pPr>
      <w:r w:rsidRPr="00081A07">
        <w:rPr>
          <w:smallCaps/>
          <w:spacing w:val="-5"/>
          <w:sz w:val="16"/>
        </w:rPr>
        <w:t>C. Fusaro-A. Barbera,</w:t>
      </w:r>
      <w:r>
        <w:rPr>
          <w:i/>
          <w:spacing w:val="-5"/>
        </w:rPr>
        <w:t xml:space="preserve"> </w:t>
      </w:r>
      <w:r w:rsidR="008F2D1C">
        <w:rPr>
          <w:i/>
          <w:spacing w:val="-5"/>
        </w:rPr>
        <w:t xml:space="preserve">Corso di diritto </w:t>
      </w:r>
      <w:r w:rsidRPr="00081A07">
        <w:rPr>
          <w:i/>
          <w:spacing w:val="-5"/>
        </w:rPr>
        <w:t>costituzionale,</w:t>
      </w:r>
      <w:r w:rsidRPr="00081A07">
        <w:rPr>
          <w:spacing w:val="-5"/>
        </w:rPr>
        <w:t xml:space="preserve"> il Mulino, 2016.</w:t>
      </w:r>
      <w:r w:rsidR="008434AF">
        <w:rPr>
          <w:spacing w:val="-5"/>
        </w:rPr>
        <w:t xml:space="preserve"> </w:t>
      </w:r>
      <w:hyperlink r:id="rId9" w:history="1">
        <w:r w:rsidR="008434AF" w:rsidRPr="008434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81A07" w:rsidRPr="00081A07" w:rsidRDefault="00081A07" w:rsidP="00081A07">
      <w:pPr>
        <w:pStyle w:val="Testo2"/>
        <w:spacing w:line="240" w:lineRule="atLeast"/>
        <w:ind w:left="284" w:hanging="284"/>
        <w:rPr>
          <w:spacing w:val="-5"/>
        </w:rPr>
      </w:pPr>
      <w:r w:rsidRPr="00081A07">
        <w:rPr>
          <w:smallCaps/>
          <w:spacing w:val="-5"/>
          <w:sz w:val="16"/>
        </w:rPr>
        <w:t>M.</w:t>
      </w:r>
      <w:r w:rsidR="00154F68">
        <w:rPr>
          <w:smallCaps/>
          <w:spacing w:val="-5"/>
          <w:sz w:val="16"/>
        </w:rPr>
        <w:t xml:space="preserve"> </w:t>
      </w:r>
      <w:r w:rsidRPr="00081A07">
        <w:rPr>
          <w:smallCaps/>
          <w:spacing w:val="-5"/>
          <w:sz w:val="16"/>
        </w:rPr>
        <w:t>Fiorillo-M. Ainis,</w:t>
      </w:r>
      <w:r w:rsidR="008F2D1C">
        <w:rPr>
          <w:i/>
          <w:spacing w:val="-5"/>
        </w:rPr>
        <w:t xml:space="preserve"> </w:t>
      </w:r>
      <w:r w:rsidRPr="00081A07">
        <w:rPr>
          <w:i/>
          <w:spacing w:val="-5"/>
        </w:rPr>
        <w:t>L’ordinamento della Cultura,</w:t>
      </w:r>
      <w:r w:rsidRPr="00081A07">
        <w:rPr>
          <w:spacing w:val="-5"/>
        </w:rPr>
        <w:t xml:space="preserve"> Giuffrè, 2015.</w:t>
      </w:r>
    </w:p>
    <w:p w:rsidR="00081A07" w:rsidRPr="00081A07" w:rsidRDefault="00081A07" w:rsidP="00081A07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081A07">
        <w:rPr>
          <w:rFonts w:ascii="Times" w:hAnsi="Times"/>
          <w:smallCaps/>
          <w:spacing w:val="-5"/>
          <w:sz w:val="16"/>
        </w:rPr>
        <w:t>M. Macalli,</w:t>
      </w:r>
      <w:r w:rsidRPr="00081A07">
        <w:rPr>
          <w:rFonts w:ascii="Times" w:hAnsi="Times"/>
          <w:i/>
          <w:spacing w:val="-5"/>
          <w:sz w:val="18"/>
        </w:rPr>
        <w:t xml:space="preserve"> </w:t>
      </w:r>
      <w:r w:rsidRPr="00081A07">
        <w:rPr>
          <w:rFonts w:ascii="Times" w:hAnsi="Times"/>
          <w:i/>
          <w:noProof/>
          <w:spacing w:val="-5"/>
          <w:sz w:val="18"/>
          <w:szCs w:val="20"/>
        </w:rPr>
        <w:t xml:space="preserve">Gestione dei beni culturali </w:t>
      </w:r>
      <w:r w:rsidRPr="00081A07">
        <w:rPr>
          <w:rFonts w:ascii="Times" w:hAnsi="Times"/>
          <w:i/>
          <w:noProof/>
          <w:spacing w:val="-5"/>
          <w:sz w:val="18"/>
          <w:szCs w:val="18"/>
        </w:rPr>
        <w:t>e trust</w:t>
      </w:r>
      <w:r w:rsidRPr="00081A07">
        <w:rPr>
          <w:rFonts w:ascii="Times" w:hAnsi="Times"/>
          <w:i/>
          <w:spacing w:val="-5"/>
          <w:sz w:val="18"/>
          <w:szCs w:val="18"/>
        </w:rPr>
        <w:t>,</w:t>
      </w:r>
      <w:r w:rsidRPr="00081A07">
        <w:rPr>
          <w:rFonts w:ascii="Times" w:hAnsi="Times"/>
          <w:spacing w:val="-5"/>
          <w:sz w:val="18"/>
          <w:szCs w:val="18"/>
        </w:rPr>
        <w:t xml:space="preserve"> </w:t>
      </w:r>
      <w:proofErr w:type="spellStart"/>
      <w:r w:rsidRPr="00081A07">
        <w:rPr>
          <w:rFonts w:ascii="Times" w:hAnsi="Times"/>
          <w:spacing w:val="-5"/>
          <w:sz w:val="18"/>
          <w:szCs w:val="18"/>
        </w:rPr>
        <w:t>EDUCatt</w:t>
      </w:r>
      <w:proofErr w:type="spellEnd"/>
      <w:r w:rsidRPr="00081A07">
        <w:rPr>
          <w:rFonts w:ascii="Times" w:hAnsi="Times"/>
          <w:spacing w:val="-5"/>
          <w:sz w:val="18"/>
          <w:szCs w:val="18"/>
        </w:rPr>
        <w:t xml:space="preserve">, 2014 - </w:t>
      </w:r>
      <w:r w:rsidRPr="00081A07">
        <w:rPr>
          <w:rFonts w:ascii="Times" w:hAnsi="Times"/>
          <w:noProof/>
          <w:spacing w:val="-5"/>
          <w:sz w:val="18"/>
          <w:szCs w:val="18"/>
        </w:rPr>
        <w:t xml:space="preserve">Compendio di legislazione dei beni culturali, a cua di F. Florian </w:t>
      </w:r>
    </w:p>
    <w:p w:rsidR="00081A07" w:rsidRPr="00081A07" w:rsidRDefault="00081A07" w:rsidP="00081A07">
      <w:pPr>
        <w:pStyle w:val="Testo2"/>
        <w:spacing w:line="240" w:lineRule="atLeast"/>
        <w:ind w:left="284" w:hanging="284"/>
        <w:rPr>
          <w:spacing w:val="-5"/>
        </w:rPr>
      </w:pPr>
      <w:r w:rsidRPr="00081A07">
        <w:rPr>
          <w:smallCaps/>
          <w:spacing w:val="-5"/>
          <w:sz w:val="16"/>
        </w:rPr>
        <w:t>Argano-C. Brizzi-M. Frittelli-G. Marinelli,</w:t>
      </w:r>
      <w:r w:rsidRPr="00081A07">
        <w:rPr>
          <w:i/>
          <w:spacing w:val="-5"/>
        </w:rPr>
        <w:t xml:space="preserve"> L’impresa di spettacolo dal vivo,</w:t>
      </w:r>
      <w:r w:rsidRPr="00081A07">
        <w:rPr>
          <w:spacing w:val="-5"/>
        </w:rPr>
        <w:t xml:space="preserve"> Officina Edizioni, pagg. 52-79.</w:t>
      </w:r>
      <w:r w:rsidR="008434AF">
        <w:rPr>
          <w:spacing w:val="-5"/>
        </w:rPr>
        <w:t xml:space="preserve"> </w:t>
      </w:r>
      <w:hyperlink r:id="rId10" w:history="1">
        <w:r w:rsidR="008434AF" w:rsidRPr="008434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081A07" w:rsidRPr="00081A07" w:rsidRDefault="00081A07" w:rsidP="00081A07">
      <w:pPr>
        <w:pStyle w:val="Testo2"/>
        <w:spacing w:line="240" w:lineRule="atLeast"/>
        <w:ind w:left="284" w:hanging="284"/>
        <w:rPr>
          <w:spacing w:val="-5"/>
        </w:rPr>
      </w:pPr>
      <w:r w:rsidRPr="00081A07">
        <w:rPr>
          <w:smallCaps/>
          <w:spacing w:val="-5"/>
          <w:sz w:val="16"/>
        </w:rPr>
        <w:t>A.C. De Rosa,</w:t>
      </w:r>
      <w:r w:rsidRPr="00081A07">
        <w:rPr>
          <w:i/>
          <w:spacing w:val="-5"/>
        </w:rPr>
        <w:t xml:space="preserve"> Il Rapporto di Lavoro nello Spettacolo,</w:t>
      </w:r>
      <w:r w:rsidRPr="00081A07">
        <w:rPr>
          <w:spacing w:val="-5"/>
        </w:rPr>
        <w:t xml:space="preserve"> Giuffrè.</w:t>
      </w:r>
    </w:p>
    <w:p w:rsidR="00081A07" w:rsidRPr="00081A07" w:rsidRDefault="00081A07" w:rsidP="00081A07">
      <w:pPr>
        <w:pStyle w:val="Testo2"/>
        <w:spacing w:line="240" w:lineRule="atLeast"/>
        <w:ind w:left="284" w:hanging="284"/>
        <w:rPr>
          <w:spacing w:val="-5"/>
        </w:rPr>
      </w:pPr>
      <w:r w:rsidRPr="00081A07">
        <w:rPr>
          <w:smallCaps/>
          <w:spacing w:val="-5"/>
          <w:sz w:val="16"/>
        </w:rPr>
        <w:t>G. Jarach-A. Poiaghi,</w:t>
      </w:r>
      <w:r w:rsidRPr="00081A07">
        <w:rPr>
          <w:i/>
          <w:spacing w:val="-5"/>
        </w:rPr>
        <w:t xml:space="preserve"> Manuale del Diritto di Autore,</w:t>
      </w:r>
      <w:r w:rsidRPr="00081A07">
        <w:rPr>
          <w:spacing w:val="-5"/>
        </w:rPr>
        <w:t xml:space="preserve"> Mursia.</w:t>
      </w:r>
      <w:r w:rsidR="008434AF">
        <w:rPr>
          <w:spacing w:val="-5"/>
        </w:rPr>
        <w:t xml:space="preserve"> </w:t>
      </w:r>
    </w:p>
    <w:p w:rsidR="00081A07" w:rsidRDefault="00081A07" w:rsidP="00081A0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81A07" w:rsidRPr="00EE467C" w:rsidRDefault="00081A07" w:rsidP="00081A07">
      <w:pPr>
        <w:pStyle w:val="Testo2"/>
      </w:pPr>
      <w:r>
        <w:t xml:space="preserve">Lezioni frontali in aula. Il primo modulo di lezioni riguarderà la parte comune a tutti gli studenti, mentre durante il secondo modulo si svolgeranno le lezioni dei rispettivi percorsi di studio. </w:t>
      </w:r>
    </w:p>
    <w:p w:rsidR="00FD6C6C" w:rsidRDefault="00FD6C6C" w:rsidP="00FD6C6C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081A07" w:rsidRPr="00081A07" w:rsidRDefault="00081A07" w:rsidP="00081A07">
      <w:pPr>
        <w:pStyle w:val="Testo2"/>
      </w:pPr>
      <w:r>
        <w:lastRenderedPageBreak/>
        <w:t xml:space="preserve">L’esame si </w:t>
      </w:r>
      <w:r w:rsidRPr="00081A07">
        <w:t>svolgerà in forma orale. Tutti gli studenti dovranno sostenere l’esame con il Prof. Lombardi per la parte generale e con il Prof. Frittelli per la parte speciale. Il voto finale sarà la media tra i due voti ottenuti.</w:t>
      </w:r>
    </w:p>
    <w:p w:rsidR="00081A07" w:rsidRPr="00B0357C" w:rsidRDefault="00081A07" w:rsidP="00081A07">
      <w:pPr>
        <w:pStyle w:val="Testo2"/>
      </w:pPr>
      <w:r w:rsidRPr="00081A07">
        <w:t>Il programma per non</w:t>
      </w:r>
      <w:r>
        <w:t xml:space="preserve"> frequentanti dovrà essere concordato con i docenti.</w:t>
      </w:r>
    </w:p>
    <w:p w:rsidR="00FD6C6C" w:rsidRDefault="00FD6C6C" w:rsidP="00FD6C6C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:rsidR="00357ED4" w:rsidRPr="00357ED4" w:rsidRDefault="00357ED4" w:rsidP="00357ED4">
      <w:pPr>
        <w:pStyle w:val="Testo2"/>
      </w:pPr>
      <w:r w:rsidRPr="00357ED4">
        <w:t>I docenti comunicheranno a lezione orario e luogo di ricevimento degli studenti.</w:t>
      </w:r>
    </w:p>
    <w:p w:rsidR="00081A07" w:rsidRDefault="00081A07" w:rsidP="00357ED4">
      <w:pPr>
        <w:pStyle w:val="Testo2"/>
      </w:pPr>
      <w:r w:rsidRPr="00357ED4">
        <w:t>Per approfondimenti bibliografici, avvisi e ulteriori materiali di studio, si rimanda alla piattaforma Blackboard dei docenti.</w:t>
      </w:r>
    </w:p>
    <w:p w:rsidR="00FD6C6C" w:rsidRDefault="00FD6C6C" w:rsidP="00FD6C6C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:rsidR="00081A07" w:rsidRPr="004D33A2" w:rsidRDefault="00081A07" w:rsidP="00081A07">
      <w:pPr>
        <w:pStyle w:val="Testo2"/>
        <w:spacing w:before="120"/>
        <w:rPr>
          <w:i/>
        </w:rPr>
      </w:pPr>
      <w:r w:rsidRPr="004D33A2">
        <w:rPr>
          <w:i/>
        </w:rPr>
        <w:t>Orario e luogo di ricevimento</w:t>
      </w:r>
    </w:p>
    <w:p w:rsidR="006F1772" w:rsidRPr="005027BA" w:rsidRDefault="00081A07" w:rsidP="00081A07">
      <w:pPr>
        <w:pStyle w:val="Testo2"/>
      </w:pPr>
      <w:r>
        <w:t>Il Prof. Stefano Lombardi e il Prof. Maurizio Frittelli</w:t>
      </w:r>
      <w:r w:rsidRPr="00304CE4">
        <w:t xml:space="preserve"> comunicheranno a lezione orario e luogo di ricevimento degli studenti.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68" w:rsidRDefault="00D65368" w:rsidP="00D65368">
      <w:pPr>
        <w:spacing w:line="240" w:lineRule="auto"/>
      </w:pPr>
      <w:r>
        <w:separator/>
      </w:r>
    </w:p>
  </w:endnote>
  <w:endnote w:type="continuationSeparator" w:id="0">
    <w:p w:rsidR="00D65368" w:rsidRDefault="00D65368" w:rsidP="00D65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68" w:rsidRDefault="00D65368" w:rsidP="00D65368">
      <w:pPr>
        <w:spacing w:line="240" w:lineRule="auto"/>
      </w:pPr>
      <w:r>
        <w:separator/>
      </w:r>
    </w:p>
  </w:footnote>
  <w:footnote w:type="continuationSeparator" w:id="0">
    <w:p w:rsidR="00D65368" w:rsidRDefault="00D65368" w:rsidP="00D65368">
      <w:pPr>
        <w:spacing w:line="240" w:lineRule="auto"/>
      </w:pPr>
      <w:r>
        <w:continuationSeparator/>
      </w:r>
    </w:p>
  </w:footnote>
  <w:footnote w:id="1">
    <w:p w:rsidR="008434AF" w:rsidRDefault="008434A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81A07"/>
    <w:rsid w:val="00154F68"/>
    <w:rsid w:val="00187B99"/>
    <w:rsid w:val="002014DD"/>
    <w:rsid w:val="00215E95"/>
    <w:rsid w:val="00357ED4"/>
    <w:rsid w:val="004D1217"/>
    <w:rsid w:val="004D6008"/>
    <w:rsid w:val="005027BA"/>
    <w:rsid w:val="006F1772"/>
    <w:rsid w:val="008434AF"/>
    <w:rsid w:val="008A1204"/>
    <w:rsid w:val="008D7720"/>
    <w:rsid w:val="008F2D1C"/>
    <w:rsid w:val="00900CCA"/>
    <w:rsid w:val="00924B77"/>
    <w:rsid w:val="00940DA2"/>
    <w:rsid w:val="009E055C"/>
    <w:rsid w:val="00A74F6F"/>
    <w:rsid w:val="00AD5A2B"/>
    <w:rsid w:val="00AD7557"/>
    <w:rsid w:val="00B51253"/>
    <w:rsid w:val="00B525CC"/>
    <w:rsid w:val="00D404F2"/>
    <w:rsid w:val="00D65368"/>
    <w:rsid w:val="00E607E6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368"/>
    <w:rPr>
      <w:szCs w:val="24"/>
    </w:rPr>
  </w:style>
  <w:style w:type="paragraph" w:styleId="Pidipagina">
    <w:name w:val="footer"/>
    <w:basedOn w:val="Normale"/>
    <w:link w:val="PidipaginaCarattere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65368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434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434AF"/>
  </w:style>
  <w:style w:type="character" w:styleId="Rimandonotaapidipagina">
    <w:name w:val="footnote reference"/>
    <w:basedOn w:val="Carpredefinitoparagrafo"/>
    <w:semiHidden/>
    <w:unhideWhenUsed/>
    <w:rsid w:val="008434AF"/>
    <w:rPr>
      <w:vertAlign w:val="superscript"/>
    </w:rPr>
  </w:style>
  <w:style w:type="character" w:styleId="Collegamentoipertestuale">
    <w:name w:val="Hyperlink"/>
    <w:basedOn w:val="Carpredefinitoparagrafo"/>
    <w:unhideWhenUsed/>
    <w:rsid w:val="00843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368"/>
    <w:rPr>
      <w:szCs w:val="24"/>
    </w:rPr>
  </w:style>
  <w:style w:type="paragraph" w:styleId="Pidipagina">
    <w:name w:val="footer"/>
    <w:basedOn w:val="Normale"/>
    <w:link w:val="PidipaginaCarattere"/>
    <w:unhideWhenUsed/>
    <w:rsid w:val="00D6536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65368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434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434AF"/>
  </w:style>
  <w:style w:type="character" w:styleId="Rimandonotaapidipagina">
    <w:name w:val="footnote reference"/>
    <w:basedOn w:val="Carpredefinitoparagrafo"/>
    <w:semiHidden/>
    <w:unhideWhenUsed/>
    <w:rsid w:val="008434AF"/>
    <w:rPr>
      <w:vertAlign w:val="superscript"/>
    </w:rPr>
  </w:style>
  <w:style w:type="character" w:styleId="Collegamentoipertestuale">
    <w:name w:val="Hyperlink"/>
    <w:basedOn w:val="Carpredefinitoparagrafo"/>
    <w:unhideWhenUsed/>
    <w:rsid w:val="0084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lio-casetta/manuale-di-diritto-amministrativo-9788828806967-67468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impresa-di-spettacolo-dal-vivo-percorsi-e-strumenti-per-la-creazione-di-nuovi-soggetti-culturali-9788860490704-1755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gusto-barbera-carlo-fusaro/corso-di-diritto-costituzionale-9788815278784-55189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5156-B869-40B6-988E-1C4E62A9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2003-03-27T09:42:00Z</cp:lastPrinted>
  <dcterms:created xsi:type="dcterms:W3CDTF">2019-05-17T08:35:00Z</dcterms:created>
  <dcterms:modified xsi:type="dcterms:W3CDTF">2020-07-03T12:35:00Z</dcterms:modified>
</cp:coreProperties>
</file>