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57" w:rsidRPr="00801962" w:rsidRDefault="003B6D57" w:rsidP="003B6D57">
      <w:pPr>
        <w:pStyle w:val="Titolo1"/>
        <w:rPr>
          <w:lang w:val="en-US"/>
        </w:rPr>
      </w:pPr>
      <w:r w:rsidRPr="00801962">
        <w:rPr>
          <w:lang w:val="en-US"/>
        </w:rPr>
        <w:t xml:space="preserve">Law and the </w:t>
      </w:r>
      <w:r w:rsidR="00571BBC">
        <w:rPr>
          <w:lang w:val="en-US"/>
        </w:rPr>
        <w:t>A</w:t>
      </w:r>
      <w:r w:rsidRPr="00801962">
        <w:rPr>
          <w:lang w:val="en-US"/>
        </w:rPr>
        <w:t>rts</w:t>
      </w:r>
    </w:p>
    <w:p w:rsidR="001402A0" w:rsidRPr="00937910" w:rsidRDefault="003B6D57" w:rsidP="00937910">
      <w:pPr>
        <w:pStyle w:val="Titolo2"/>
        <w:rPr>
          <w:lang w:val="en-GB"/>
        </w:rPr>
      </w:pPr>
      <w:r>
        <w:rPr>
          <w:lang w:val="en-GB"/>
        </w:rPr>
        <w:t xml:space="preserve">Prof. </w:t>
      </w:r>
      <w:r w:rsidRPr="00CD7E20">
        <w:rPr>
          <w:lang w:val="en-GB"/>
        </w:rPr>
        <w:t>Arianna Visconti</w:t>
      </w:r>
    </w:p>
    <w:p w:rsidR="003B6D57" w:rsidRPr="00E65E7D" w:rsidRDefault="003B6D57" w:rsidP="003B6D57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797913">
        <w:rPr>
          <w:b/>
          <w:bCs/>
          <w:i/>
          <w:iCs/>
          <w:sz w:val="18"/>
          <w:szCs w:val="18"/>
          <w:lang w:val="en-GB"/>
        </w:rPr>
        <w:t xml:space="preserve"> AND EXPECTED LEARNING OUTCOMES</w:t>
      </w:r>
    </w:p>
    <w:p w:rsidR="003B6D57" w:rsidRDefault="003B6D57" w:rsidP="003B6D57">
      <w:pPr>
        <w:rPr>
          <w:szCs w:val="20"/>
          <w:lang w:val="en-GB"/>
        </w:rPr>
      </w:pPr>
      <w:r w:rsidRPr="00307A8C">
        <w:rPr>
          <w:szCs w:val="20"/>
          <w:lang w:val="en-GB"/>
        </w:rPr>
        <w:t xml:space="preserve">The course aims at providing students with basic competences on both international and national </w:t>
      </w:r>
      <w:r w:rsidR="00FE016E">
        <w:rPr>
          <w:szCs w:val="20"/>
          <w:lang w:val="en-GB"/>
        </w:rPr>
        <w:t xml:space="preserve">public and </w:t>
      </w:r>
      <w:r w:rsidR="00797913">
        <w:rPr>
          <w:szCs w:val="20"/>
          <w:lang w:val="en-GB"/>
        </w:rPr>
        <w:t>c</w:t>
      </w:r>
      <w:r w:rsidRPr="00307A8C">
        <w:rPr>
          <w:szCs w:val="20"/>
          <w:lang w:val="en-GB"/>
        </w:rPr>
        <w:t xml:space="preserve">riminal </w:t>
      </w:r>
      <w:r w:rsidR="00797913">
        <w:rPr>
          <w:szCs w:val="20"/>
          <w:lang w:val="en-GB"/>
        </w:rPr>
        <w:t>l</w:t>
      </w:r>
      <w:r w:rsidRPr="00307A8C">
        <w:rPr>
          <w:szCs w:val="20"/>
          <w:lang w:val="en-GB"/>
        </w:rPr>
        <w:t>aw protection of cultural heritage, as well as with all relevant and most up-to-date criminological knowledge about the empirical dimension of offences against cultural property.</w:t>
      </w:r>
      <w:r w:rsidR="00797913">
        <w:rPr>
          <w:szCs w:val="20"/>
          <w:lang w:val="en-GB"/>
        </w:rPr>
        <w:t xml:space="preserve"> To this effect, the course also aims at providing students with basic competences on international, EU, and comparative cultural property law, including the most relevant non-penal </w:t>
      </w:r>
      <w:r w:rsidR="00B17A22">
        <w:rPr>
          <w:szCs w:val="20"/>
          <w:lang w:val="en-GB"/>
        </w:rPr>
        <w:t>issues.</w:t>
      </w:r>
    </w:p>
    <w:p w:rsidR="00357D4B" w:rsidRDefault="00357D4B" w:rsidP="003B6D57">
      <w:pPr>
        <w:rPr>
          <w:szCs w:val="20"/>
          <w:lang w:val="en-GB"/>
        </w:rPr>
      </w:pPr>
    </w:p>
    <w:p w:rsidR="00357D4B" w:rsidRDefault="00357D4B" w:rsidP="003B6D57">
      <w:pPr>
        <w:rPr>
          <w:szCs w:val="20"/>
          <w:lang w:val="en-GB"/>
        </w:rPr>
      </w:pPr>
      <w:r>
        <w:rPr>
          <w:szCs w:val="20"/>
          <w:lang w:val="en-GB"/>
        </w:rPr>
        <w:t>At the end of the course, students</w:t>
      </w:r>
    </w:p>
    <w:p w:rsidR="00357D4B" w:rsidRDefault="00357D4B" w:rsidP="003B6D57">
      <w:pPr>
        <w:rPr>
          <w:szCs w:val="20"/>
          <w:lang w:val="en-GB"/>
        </w:rPr>
      </w:pPr>
      <w:r>
        <w:rPr>
          <w:szCs w:val="20"/>
          <w:lang w:val="en-GB"/>
        </w:rPr>
        <w:t xml:space="preserve">- will possess the basic technical terminology and legal knowledge to understand and discuss common </w:t>
      </w:r>
      <w:r w:rsidR="007830EA">
        <w:rPr>
          <w:szCs w:val="20"/>
          <w:lang w:val="en-GB"/>
        </w:rPr>
        <w:t>questions</w:t>
      </w:r>
      <w:r w:rsidR="00454B82">
        <w:rPr>
          <w:szCs w:val="20"/>
          <w:lang w:val="en-GB"/>
        </w:rPr>
        <w:t xml:space="preserve"> related to cultural heritage protection </w:t>
      </w:r>
      <w:r w:rsidR="007830EA">
        <w:rPr>
          <w:szCs w:val="20"/>
          <w:lang w:val="en-GB"/>
        </w:rPr>
        <w:t>(</w:t>
      </w:r>
      <w:r w:rsidR="00454B82">
        <w:rPr>
          <w:szCs w:val="20"/>
          <w:lang w:val="en-GB"/>
        </w:rPr>
        <w:t>both in peacetime and wartime</w:t>
      </w:r>
      <w:r w:rsidR="007830EA">
        <w:rPr>
          <w:szCs w:val="20"/>
          <w:lang w:val="en-GB"/>
        </w:rPr>
        <w:t>)</w:t>
      </w:r>
      <w:r w:rsidR="00454B82">
        <w:rPr>
          <w:szCs w:val="20"/>
          <w:lang w:val="en-GB"/>
        </w:rPr>
        <w:t>, cultural property ownership regimes, circulation of rights over cultural objects, cultural property import, export, return and restitution rules, criminal offences against cultural property, and related issues;</w:t>
      </w:r>
    </w:p>
    <w:p w:rsidR="00590A9C" w:rsidRDefault="007830EA" w:rsidP="003B6D57">
      <w:pPr>
        <w:rPr>
          <w:szCs w:val="20"/>
          <w:lang w:val="en-GB"/>
        </w:rPr>
      </w:pPr>
      <w:r>
        <w:rPr>
          <w:szCs w:val="20"/>
          <w:lang w:val="en-GB"/>
        </w:rPr>
        <w:t xml:space="preserve">- will be able to identify </w:t>
      </w:r>
      <w:r w:rsidR="00A01834">
        <w:rPr>
          <w:szCs w:val="20"/>
          <w:lang w:val="en-GB"/>
        </w:rPr>
        <w:t>at least the most common indicators of possible legal risks</w:t>
      </w:r>
      <w:r w:rsidR="004844E6">
        <w:rPr>
          <w:szCs w:val="20"/>
          <w:lang w:val="en-GB"/>
        </w:rPr>
        <w:t xml:space="preserve"> (and particularly penal risks)</w:t>
      </w:r>
      <w:r w:rsidR="00A01834">
        <w:rPr>
          <w:szCs w:val="20"/>
          <w:lang w:val="en-GB"/>
        </w:rPr>
        <w:t xml:space="preserve"> related to dealing in </w:t>
      </w:r>
      <w:r w:rsidR="004844E6">
        <w:rPr>
          <w:szCs w:val="20"/>
          <w:lang w:val="en-GB"/>
        </w:rPr>
        <w:t>cultural property</w:t>
      </w:r>
      <w:r w:rsidR="00D653FE">
        <w:rPr>
          <w:szCs w:val="20"/>
          <w:lang w:val="en-GB"/>
        </w:rPr>
        <w:t xml:space="preserve"> and/or collecting</w:t>
      </w:r>
      <w:r w:rsidR="00285FB9">
        <w:rPr>
          <w:szCs w:val="20"/>
          <w:lang w:val="en-GB"/>
        </w:rPr>
        <w:t xml:space="preserve"> art and antiquities</w:t>
      </w:r>
      <w:r w:rsidR="004844E6">
        <w:rPr>
          <w:szCs w:val="20"/>
          <w:lang w:val="en-GB"/>
        </w:rPr>
        <w:t>, possess basic du</w:t>
      </w:r>
      <w:r w:rsidR="00590A9C">
        <w:rPr>
          <w:szCs w:val="20"/>
          <w:lang w:val="en-GB"/>
        </w:rPr>
        <w:t>e diligence standards, and</w:t>
      </w:r>
      <w:r w:rsidR="00476F43">
        <w:rPr>
          <w:szCs w:val="20"/>
          <w:lang w:val="en-GB"/>
        </w:rPr>
        <w:t>, more broadly,</w:t>
      </w:r>
      <w:r w:rsidR="00590A9C">
        <w:rPr>
          <w:szCs w:val="20"/>
          <w:lang w:val="en-GB"/>
        </w:rPr>
        <w:t xml:space="preserve"> recognize specific </w:t>
      </w:r>
      <w:r w:rsidR="00D653FE">
        <w:rPr>
          <w:szCs w:val="20"/>
          <w:lang w:val="en-GB"/>
        </w:rPr>
        <w:t>legal issues related to cultural heritage</w:t>
      </w:r>
      <w:r w:rsidR="00476F43">
        <w:rPr>
          <w:szCs w:val="20"/>
          <w:lang w:val="en-GB"/>
        </w:rPr>
        <w:t xml:space="preserve"> both movable and immovable</w:t>
      </w:r>
      <w:r w:rsidR="00590A9C">
        <w:rPr>
          <w:szCs w:val="20"/>
          <w:lang w:val="en-GB"/>
        </w:rPr>
        <w:t>;</w:t>
      </w:r>
    </w:p>
    <w:p w:rsidR="00D653FE" w:rsidRDefault="00D653FE" w:rsidP="003B6D57">
      <w:pPr>
        <w:rPr>
          <w:szCs w:val="20"/>
          <w:lang w:val="en-GB"/>
        </w:rPr>
      </w:pPr>
      <w:r>
        <w:rPr>
          <w:szCs w:val="20"/>
          <w:lang w:val="en-GB"/>
        </w:rPr>
        <w:t>- will be able to assess</w:t>
      </w:r>
      <w:r w:rsidR="009B10AB">
        <w:rPr>
          <w:szCs w:val="20"/>
          <w:lang w:val="en-GB"/>
        </w:rPr>
        <w:t xml:space="preserve"> the general outline of legal questions possibly emerging in the art and antiquities market, as well as</w:t>
      </w:r>
      <w:r w:rsidR="00920E92">
        <w:rPr>
          <w:szCs w:val="20"/>
          <w:lang w:val="en-GB"/>
        </w:rPr>
        <w:t xml:space="preserve"> in the management of collections, museums and other cultural institutions, to make informed decisions taking into account the most</w:t>
      </w:r>
      <w:r w:rsidR="005B6CF9">
        <w:rPr>
          <w:szCs w:val="20"/>
          <w:lang w:val="en-GB"/>
        </w:rPr>
        <w:t xml:space="preserve"> relevant laws involved, and</w:t>
      </w:r>
      <w:r w:rsidR="009B10AB">
        <w:rPr>
          <w:szCs w:val="20"/>
          <w:lang w:val="en-GB"/>
        </w:rPr>
        <w:t xml:space="preserve"> to correctly select specific areas of competence</w:t>
      </w:r>
      <w:r w:rsidR="005B6CF9">
        <w:rPr>
          <w:szCs w:val="20"/>
          <w:lang w:val="en-GB"/>
        </w:rPr>
        <w:t xml:space="preserve"> to refer to</w:t>
      </w:r>
      <w:r w:rsidR="009B10AB">
        <w:rPr>
          <w:szCs w:val="20"/>
          <w:lang w:val="en-GB"/>
        </w:rPr>
        <w:t xml:space="preserve"> for more complex legal problems in these fields</w:t>
      </w:r>
      <w:r w:rsidR="005B6CF9">
        <w:rPr>
          <w:szCs w:val="20"/>
          <w:lang w:val="en-GB"/>
        </w:rPr>
        <w:t>;</w:t>
      </w:r>
    </w:p>
    <w:p w:rsidR="00476F43" w:rsidRDefault="00476F43" w:rsidP="003B6D57">
      <w:pPr>
        <w:rPr>
          <w:szCs w:val="20"/>
          <w:lang w:val="en-GB"/>
        </w:rPr>
      </w:pPr>
      <w:r>
        <w:rPr>
          <w:szCs w:val="20"/>
          <w:lang w:val="en-GB"/>
        </w:rPr>
        <w:t>- will</w:t>
      </w:r>
      <w:r w:rsidR="000B0145">
        <w:rPr>
          <w:szCs w:val="20"/>
          <w:lang w:val="en-GB"/>
        </w:rPr>
        <w:t xml:space="preserve"> know how to communicate and discuss common legal issues pertaining to cultural property and cultural heritage law</w:t>
      </w:r>
      <w:r w:rsidR="0072206E">
        <w:rPr>
          <w:szCs w:val="20"/>
          <w:lang w:val="en-GB"/>
        </w:rPr>
        <w:t xml:space="preserve"> with both specialist a</w:t>
      </w:r>
      <w:r w:rsidR="00630CE6">
        <w:rPr>
          <w:szCs w:val="20"/>
          <w:lang w:val="en-GB"/>
        </w:rPr>
        <w:t>nd non-specialist interlocutors</w:t>
      </w:r>
      <w:r w:rsidR="0072206E">
        <w:rPr>
          <w:szCs w:val="20"/>
          <w:lang w:val="en-GB"/>
        </w:rPr>
        <w:t>;</w:t>
      </w:r>
    </w:p>
    <w:p w:rsidR="00476F43" w:rsidRDefault="00476F43" w:rsidP="003B6D57">
      <w:pPr>
        <w:rPr>
          <w:szCs w:val="20"/>
          <w:lang w:val="en-GB"/>
        </w:rPr>
      </w:pPr>
      <w:r>
        <w:rPr>
          <w:szCs w:val="20"/>
          <w:lang w:val="en-GB"/>
        </w:rPr>
        <w:t xml:space="preserve">- </w:t>
      </w:r>
      <w:r w:rsidR="002B5E85">
        <w:rPr>
          <w:szCs w:val="20"/>
          <w:lang w:val="en-GB"/>
        </w:rPr>
        <w:t xml:space="preserve">will </w:t>
      </w:r>
      <w:r>
        <w:rPr>
          <w:szCs w:val="20"/>
          <w:lang w:val="en-GB"/>
        </w:rPr>
        <w:t xml:space="preserve">have developed the learning skills necessary for them to </w:t>
      </w:r>
      <w:r w:rsidR="002B5E85">
        <w:rPr>
          <w:szCs w:val="20"/>
          <w:lang w:val="en-GB"/>
        </w:rPr>
        <w:t>continue studying in a mostly autonomous way, including, when needed, to update their basic knowledge according to new development</w:t>
      </w:r>
      <w:r w:rsidR="002C7339">
        <w:rPr>
          <w:szCs w:val="20"/>
          <w:lang w:val="en-GB"/>
        </w:rPr>
        <w:t>s</w:t>
      </w:r>
      <w:r w:rsidR="002B5E85">
        <w:rPr>
          <w:szCs w:val="20"/>
          <w:lang w:val="en-GB"/>
        </w:rPr>
        <w:t xml:space="preserve"> in cultural heritage law.</w:t>
      </w:r>
    </w:p>
    <w:p w:rsidR="003B6D57" w:rsidRPr="00E65E7D" w:rsidRDefault="00590A9C" w:rsidP="001F6071">
      <w:pPr>
        <w:spacing w:before="240" w:after="120"/>
        <w:rPr>
          <w:b/>
          <w:bCs/>
          <w:sz w:val="18"/>
          <w:szCs w:val="18"/>
          <w:lang w:val="en-GB"/>
        </w:rPr>
      </w:pPr>
      <w:r>
        <w:rPr>
          <w:szCs w:val="20"/>
          <w:lang w:val="en-GB"/>
        </w:rPr>
        <w:t xml:space="preserve">  </w:t>
      </w:r>
      <w:r w:rsidR="003B6D57" w:rsidRPr="00E65E7D">
        <w:rPr>
          <w:b/>
          <w:bCs/>
          <w:i/>
          <w:iCs/>
          <w:sz w:val="18"/>
          <w:szCs w:val="18"/>
          <w:lang w:val="en-GB"/>
        </w:rPr>
        <w:t>COURSE CONTENT</w:t>
      </w:r>
      <w:r w:rsidR="005B6CF9">
        <w:rPr>
          <w:b/>
          <w:bCs/>
          <w:i/>
          <w:iCs/>
          <w:sz w:val="18"/>
          <w:szCs w:val="18"/>
          <w:lang w:val="en-GB"/>
        </w:rPr>
        <w:t>S</w:t>
      </w:r>
    </w:p>
    <w:p w:rsidR="003B6D57" w:rsidRDefault="003B6D57" w:rsidP="003B6D57">
      <w:pPr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1.</w:t>
      </w:r>
      <w:r>
        <w:rPr>
          <w:szCs w:val="20"/>
          <w:lang w:val="en-GB"/>
        </w:rPr>
        <w:tab/>
      </w:r>
      <w:r w:rsidRPr="00307A8C">
        <w:rPr>
          <w:szCs w:val="20"/>
          <w:lang w:val="en-GB"/>
        </w:rPr>
        <w:t xml:space="preserve">Definitions of “cultural heritage” and “cultural property”. </w:t>
      </w:r>
    </w:p>
    <w:p w:rsidR="003B6D57" w:rsidRDefault="003B6D57" w:rsidP="003B6D57">
      <w:pPr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lastRenderedPageBreak/>
        <w:t>2.</w:t>
      </w:r>
      <w:r>
        <w:rPr>
          <w:szCs w:val="20"/>
          <w:lang w:val="en-GB"/>
        </w:rPr>
        <w:tab/>
      </w:r>
      <w:r w:rsidRPr="00307A8C">
        <w:rPr>
          <w:szCs w:val="20"/>
          <w:lang w:val="en-GB"/>
        </w:rPr>
        <w:t xml:space="preserve">The criminology of offences against cultural heritage: destruction and devastation; looting, illicit export and other forms of scattering; transnational trafficking in cultural property and organized crime; dark figure and grey market; forgeries. </w:t>
      </w:r>
    </w:p>
    <w:p w:rsidR="003B6D57" w:rsidRDefault="003B6D57" w:rsidP="003B6D57">
      <w:pPr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3.</w:t>
      </w:r>
      <w:r>
        <w:rPr>
          <w:szCs w:val="20"/>
          <w:lang w:val="en-GB"/>
        </w:rPr>
        <w:tab/>
      </w:r>
      <w:r w:rsidRPr="00307A8C">
        <w:rPr>
          <w:szCs w:val="20"/>
          <w:lang w:val="en-GB"/>
        </w:rPr>
        <w:t xml:space="preserve">International Law and cultural property protection: humanitarian law; the UNESCO Conventions; the UNIDROIT Convention; Council of Europe policies; European Union policies; UNODC’s initiatives. </w:t>
      </w:r>
    </w:p>
    <w:p w:rsidR="009D32CA" w:rsidRDefault="003B6D57" w:rsidP="003B6D57">
      <w:pPr>
        <w:ind w:left="284" w:hanging="284"/>
        <w:rPr>
          <w:szCs w:val="20"/>
          <w:lang w:val="en-GB"/>
        </w:rPr>
      </w:pPr>
      <w:r>
        <w:rPr>
          <w:szCs w:val="20"/>
          <w:lang w:val="en-GB"/>
        </w:rPr>
        <w:t>4.</w:t>
      </w:r>
      <w:r>
        <w:rPr>
          <w:szCs w:val="20"/>
          <w:lang w:val="en-GB"/>
        </w:rPr>
        <w:tab/>
      </w:r>
      <w:r w:rsidRPr="00307A8C">
        <w:rPr>
          <w:szCs w:val="20"/>
          <w:lang w:val="en-GB"/>
        </w:rPr>
        <w:t>Criminal Law and cultural property protection: basics of Italian and Comparative Criminal Law; cultural heritage in the Italian Constitution; Criminal Law provisions pertaining to cultural heritage protection: damage and dis</w:t>
      </w:r>
      <w:r>
        <w:rPr>
          <w:szCs w:val="20"/>
          <w:lang w:val="en-GB"/>
        </w:rPr>
        <w:t xml:space="preserve">figuring (arts 635, co.2, n.1, </w:t>
      </w:r>
      <w:r w:rsidRPr="00307A8C">
        <w:rPr>
          <w:szCs w:val="20"/>
          <w:lang w:val="en-GB"/>
        </w:rPr>
        <w:t xml:space="preserve">639, co.2 and 733 Penal Code); special offences against cultural property provided for in </w:t>
      </w:r>
      <w:proofErr w:type="spellStart"/>
      <w:r w:rsidRPr="00307A8C">
        <w:rPr>
          <w:szCs w:val="20"/>
          <w:lang w:val="en-GB"/>
        </w:rPr>
        <w:t>d.lgs</w:t>
      </w:r>
      <w:proofErr w:type="spellEnd"/>
      <w:r w:rsidRPr="00307A8C">
        <w:rPr>
          <w:szCs w:val="20"/>
          <w:lang w:val="en-GB"/>
        </w:rPr>
        <w:t xml:space="preserve">. 42/2004 (arts 169-172); illicit alienation (art. 173); illicit export of cultural property (art. 174); offences related to archaeological excavations (arts. 175 and 176); forgery (art. 178). </w:t>
      </w:r>
    </w:p>
    <w:p w:rsidR="003B6D57" w:rsidRPr="00307A8C" w:rsidRDefault="003B6D57" w:rsidP="009D32CA">
      <w:pPr>
        <w:ind w:left="284" w:hanging="284"/>
        <w:rPr>
          <w:szCs w:val="20"/>
          <w:lang w:val="en-GB"/>
        </w:rPr>
      </w:pPr>
      <w:r w:rsidRPr="00307A8C">
        <w:rPr>
          <w:szCs w:val="20"/>
          <w:lang w:val="en-GB"/>
        </w:rPr>
        <w:t xml:space="preserve">5. </w:t>
      </w:r>
      <w:r w:rsidR="009D32CA">
        <w:rPr>
          <w:szCs w:val="20"/>
          <w:lang w:val="en-GB"/>
        </w:rPr>
        <w:t xml:space="preserve"> Basics on </w:t>
      </w:r>
      <w:r w:rsidRPr="00307A8C">
        <w:rPr>
          <w:szCs w:val="20"/>
          <w:lang w:val="en-GB"/>
        </w:rPr>
        <w:t>Criminal Law protection of author’s rights.</w:t>
      </w:r>
    </w:p>
    <w:p w:rsidR="003B6D57" w:rsidRPr="00E65E7D" w:rsidRDefault="003B6D57" w:rsidP="003B6D57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FF2A4A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:rsidR="003B6D57" w:rsidRDefault="003B6D57" w:rsidP="003B6D57">
      <w:pPr>
        <w:pStyle w:val="Testo1"/>
        <w:rPr>
          <w:lang w:val="en-GB"/>
        </w:rPr>
      </w:pPr>
      <w:r>
        <w:rPr>
          <w:lang w:val="en-GB"/>
        </w:rPr>
        <w:t xml:space="preserve">Students who </w:t>
      </w:r>
      <w:r w:rsidRPr="00307A8C">
        <w:rPr>
          <w:i/>
          <w:lang w:val="en-GB"/>
        </w:rPr>
        <w:t>attend</w:t>
      </w:r>
      <w:r>
        <w:rPr>
          <w:lang w:val="en-GB"/>
        </w:rPr>
        <w:t xml:space="preserve"> regularly will study on their notes, as well as on other materials the teacher will provide during the year through the Blackboard platform. </w:t>
      </w:r>
    </w:p>
    <w:p w:rsidR="003B6D57" w:rsidRDefault="003B6D57" w:rsidP="00153DB3">
      <w:pPr>
        <w:pStyle w:val="Testo1"/>
        <w:spacing w:before="0"/>
        <w:rPr>
          <w:lang w:val="en-GB"/>
        </w:rPr>
      </w:pPr>
      <w:r>
        <w:rPr>
          <w:lang w:val="en-GB"/>
        </w:rPr>
        <w:t xml:space="preserve">Students which do </w:t>
      </w:r>
      <w:r w:rsidRPr="00307A8C">
        <w:rPr>
          <w:i/>
          <w:lang w:val="en-GB"/>
        </w:rPr>
        <w:t>not regularly attend</w:t>
      </w:r>
      <w:r>
        <w:rPr>
          <w:lang w:val="en-GB"/>
        </w:rPr>
        <w:t xml:space="preserve"> lectures are strongly encouraged to get in touch with the teacher, and will in any case refer to</w:t>
      </w:r>
      <w:r w:rsidR="00BB5410">
        <w:rPr>
          <w:lang w:val="en-GB"/>
        </w:rPr>
        <w:t xml:space="preserve"> the systematic collection of</w:t>
      </w:r>
      <w:r>
        <w:rPr>
          <w:lang w:val="en-GB"/>
        </w:rPr>
        <w:t xml:space="preserve"> papers and materials to be published on </w:t>
      </w:r>
      <w:r w:rsidR="001402A0">
        <w:rPr>
          <w:lang w:val="en-GB"/>
        </w:rPr>
        <w:t>Blackboard</w:t>
      </w:r>
      <w:r>
        <w:rPr>
          <w:lang w:val="en-GB"/>
        </w:rPr>
        <w:t xml:space="preserve">, </w:t>
      </w:r>
      <w:r w:rsidR="00BB5410">
        <w:rPr>
          <w:lang w:val="en-GB"/>
        </w:rPr>
        <w:t>as well as</w:t>
      </w:r>
      <w:r>
        <w:rPr>
          <w:lang w:val="en-GB"/>
        </w:rPr>
        <w:t xml:space="preserve"> to:</w:t>
      </w:r>
    </w:p>
    <w:p w:rsidR="003B6D57" w:rsidRPr="00307A8C" w:rsidRDefault="003B6D57" w:rsidP="00153DB3">
      <w:pPr>
        <w:pStyle w:val="Testo1"/>
        <w:spacing w:before="0" w:line="240" w:lineRule="atLeast"/>
        <w:rPr>
          <w:spacing w:val="-5"/>
          <w:lang w:val="en-GB"/>
        </w:rPr>
      </w:pPr>
      <w:r w:rsidRPr="00307A8C">
        <w:rPr>
          <w:smallCaps/>
          <w:spacing w:val="-5"/>
          <w:sz w:val="16"/>
          <w:lang w:val="en-GB"/>
        </w:rPr>
        <w:t>J. Blake,</w:t>
      </w:r>
      <w:r w:rsidRPr="00307A8C">
        <w:rPr>
          <w:i/>
          <w:spacing w:val="-5"/>
          <w:lang w:val="en-GB"/>
        </w:rPr>
        <w:t xml:space="preserve"> International Cultural Heritage Law,</w:t>
      </w:r>
      <w:r w:rsidRPr="00307A8C">
        <w:rPr>
          <w:spacing w:val="-5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07A8C">
            <w:rPr>
              <w:spacing w:val="-5"/>
              <w:lang w:val="en-GB"/>
            </w:rPr>
            <w:t>Oxford</w:t>
          </w:r>
        </w:smartTag>
        <w:r w:rsidRPr="00307A8C">
          <w:rPr>
            <w:spacing w:val="-5"/>
            <w:lang w:val="en-GB"/>
          </w:rPr>
          <w:t xml:space="preserve"> </w:t>
        </w:r>
        <w:smartTag w:uri="urn:schemas-microsoft-com:office:smarttags" w:element="PlaceType">
          <w:r w:rsidRPr="00307A8C">
            <w:rPr>
              <w:spacing w:val="-5"/>
              <w:lang w:val="en-GB"/>
            </w:rPr>
            <w:t>University</w:t>
          </w:r>
        </w:smartTag>
      </w:smartTag>
      <w:r w:rsidRPr="00307A8C">
        <w:rPr>
          <w:spacing w:val="-5"/>
          <w:lang w:val="en-GB"/>
        </w:rPr>
        <w:t xml:space="preserve"> Press, 2015</w:t>
      </w:r>
      <w:r w:rsidR="00BB5410">
        <w:rPr>
          <w:spacing w:val="-5"/>
          <w:lang w:val="en-GB"/>
        </w:rPr>
        <w:t xml:space="preserve">, pp. </w:t>
      </w:r>
      <w:r w:rsidR="005155BD">
        <w:rPr>
          <w:spacing w:val="-5"/>
          <w:lang w:val="en-GB"/>
        </w:rPr>
        <w:t>1-69 and 114-312</w:t>
      </w:r>
      <w:r w:rsidR="00280499">
        <w:rPr>
          <w:spacing w:val="-5"/>
          <w:lang w:val="en-GB"/>
        </w:rPr>
        <w:t>.</w:t>
      </w:r>
    </w:p>
    <w:p w:rsidR="003B6D57" w:rsidRPr="00307A8C" w:rsidRDefault="003B6D57" w:rsidP="003B6D57">
      <w:pPr>
        <w:pStyle w:val="Testo1"/>
        <w:spacing w:before="0" w:line="240" w:lineRule="atLeast"/>
        <w:rPr>
          <w:spacing w:val="-5"/>
          <w:lang w:val="en-GB"/>
        </w:rPr>
      </w:pPr>
      <w:r w:rsidRPr="00307A8C">
        <w:rPr>
          <w:smallCaps/>
          <w:spacing w:val="-5"/>
          <w:sz w:val="16"/>
          <w:lang w:val="en-GB"/>
        </w:rPr>
        <w:t>C. Forrest,</w:t>
      </w:r>
      <w:r w:rsidRPr="00307A8C">
        <w:rPr>
          <w:i/>
          <w:spacing w:val="-5"/>
          <w:lang w:val="en-GB"/>
        </w:rPr>
        <w:t xml:space="preserve"> International Law and the Protection of Cultural Heritage,</w:t>
      </w:r>
      <w:r w:rsidRPr="00307A8C">
        <w:rPr>
          <w:spacing w:val="-5"/>
          <w:lang w:val="en-GB"/>
        </w:rPr>
        <w:t xml:space="preserve"> Routledge, 2011, pp. 56-223</w:t>
      </w:r>
      <w:r w:rsidR="004D2A93">
        <w:rPr>
          <w:spacing w:val="-5"/>
          <w:lang w:val="en-GB"/>
        </w:rPr>
        <w:t xml:space="preserve"> (pp.</w:t>
      </w:r>
      <w:r w:rsidR="00BB5410">
        <w:rPr>
          <w:spacing w:val="-5"/>
          <w:lang w:val="en-GB"/>
        </w:rPr>
        <w:t xml:space="preserve"> </w:t>
      </w:r>
      <w:r w:rsidR="004D2A93">
        <w:rPr>
          <w:spacing w:val="-5"/>
          <w:lang w:val="en-GB"/>
        </w:rPr>
        <w:t xml:space="preserve">1-55 are also </w:t>
      </w:r>
      <w:r w:rsidR="004D2A93" w:rsidRPr="00BB5410">
        <w:rPr>
          <w:i/>
          <w:spacing w:val="-5"/>
          <w:lang w:val="en-GB"/>
        </w:rPr>
        <w:t>strongly</w:t>
      </w:r>
      <w:r w:rsidR="004D2A93">
        <w:rPr>
          <w:spacing w:val="-5"/>
          <w:lang w:val="en-GB"/>
        </w:rPr>
        <w:t xml:space="preserve"> recommended to students without, or with very limited, prior legal education)</w:t>
      </w:r>
      <w:r>
        <w:rPr>
          <w:spacing w:val="-5"/>
          <w:lang w:val="en-GB"/>
        </w:rPr>
        <w:t>.</w:t>
      </w:r>
    </w:p>
    <w:p w:rsidR="003B6D57" w:rsidRDefault="003B6D57" w:rsidP="00153DB3">
      <w:pPr>
        <w:pStyle w:val="Testo1"/>
        <w:spacing w:before="0"/>
        <w:rPr>
          <w:lang w:val="en-GB"/>
        </w:rPr>
      </w:pPr>
      <w:r>
        <w:rPr>
          <w:lang w:val="en-GB"/>
        </w:rPr>
        <w:t xml:space="preserve">All the </w:t>
      </w:r>
      <w:r w:rsidR="001402A0">
        <w:rPr>
          <w:lang w:val="en-GB"/>
        </w:rPr>
        <w:t>laws, treaties, directives, regulations, etc.</w:t>
      </w:r>
      <w:r>
        <w:rPr>
          <w:lang w:val="en-GB"/>
        </w:rPr>
        <w:t xml:space="preserve"> are publicly available on the Internet. Students who anyway feel the need for an edited</w:t>
      </w:r>
      <w:r w:rsidR="00FB217B">
        <w:rPr>
          <w:lang w:val="en-GB"/>
        </w:rPr>
        <w:t xml:space="preserve"> (albeit not complete)</w:t>
      </w:r>
      <w:r>
        <w:rPr>
          <w:lang w:val="en-GB"/>
        </w:rPr>
        <w:t xml:space="preserve"> collection may refer to:</w:t>
      </w:r>
    </w:p>
    <w:p w:rsidR="003B6D57" w:rsidRPr="00307A8C" w:rsidRDefault="003B6D57" w:rsidP="00153DB3">
      <w:pPr>
        <w:pStyle w:val="Testo1"/>
        <w:spacing w:before="0" w:line="240" w:lineRule="atLeast"/>
        <w:rPr>
          <w:spacing w:val="-5"/>
        </w:rPr>
      </w:pPr>
      <w:r w:rsidRPr="00307A8C">
        <w:rPr>
          <w:smallCaps/>
          <w:spacing w:val="-5"/>
          <w:sz w:val="16"/>
        </w:rPr>
        <w:t>A. Ciampi,</w:t>
      </w:r>
      <w:r w:rsidRPr="00307A8C">
        <w:rPr>
          <w:i/>
          <w:spacing w:val="-5"/>
        </w:rPr>
        <w:t xml:space="preserve"> La protezione del patrimonio culturale: strumenti internazionali e legislazione italiana (The Protection of Cultural Heritage: International Instruments and Italian Legislation),</w:t>
      </w:r>
      <w:r w:rsidRPr="00307A8C">
        <w:rPr>
          <w:spacing w:val="-5"/>
        </w:rPr>
        <w:t xml:space="preserve"> Giappichelli, 2014</w:t>
      </w:r>
      <w:r>
        <w:rPr>
          <w:spacing w:val="-5"/>
        </w:rPr>
        <w:t>.</w:t>
      </w:r>
    </w:p>
    <w:p w:rsidR="003B6D57" w:rsidRPr="00E65E7D" w:rsidRDefault="003B6D57" w:rsidP="003B6D57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3B6D57" w:rsidRDefault="003B6D57" w:rsidP="003B6D57">
      <w:pPr>
        <w:pStyle w:val="Testo2"/>
        <w:rPr>
          <w:lang w:val="en-GB"/>
        </w:rPr>
      </w:pPr>
      <w:r w:rsidRPr="00E01D0F">
        <w:rPr>
          <w:lang w:val="en-GB"/>
        </w:rPr>
        <w:t xml:space="preserve">Lectures will be held </w:t>
      </w:r>
      <w:r>
        <w:rPr>
          <w:lang w:val="en-GB"/>
        </w:rPr>
        <w:t>in English (basic Italian legal t</w:t>
      </w:r>
      <w:r w:rsidRPr="00E01D0F">
        <w:rPr>
          <w:lang w:val="en-GB"/>
        </w:rPr>
        <w:t>erminology</w:t>
      </w:r>
      <w:r>
        <w:rPr>
          <w:lang w:val="en-GB"/>
        </w:rPr>
        <w:t xml:space="preserve"> will be also provided</w:t>
      </w:r>
      <w:r w:rsidR="00A953A2">
        <w:rPr>
          <w:lang w:val="en-GB"/>
        </w:rPr>
        <w:t xml:space="preserve"> when indispensa</w:t>
      </w:r>
      <w:r w:rsidR="009D32CA">
        <w:rPr>
          <w:lang w:val="en-GB"/>
        </w:rPr>
        <w:t>ble</w:t>
      </w:r>
      <w:r>
        <w:rPr>
          <w:lang w:val="en-GB"/>
        </w:rPr>
        <w:t>)</w:t>
      </w:r>
      <w:r w:rsidRPr="00E01D0F">
        <w:rPr>
          <w:lang w:val="en-GB"/>
        </w:rPr>
        <w:t>.</w:t>
      </w:r>
      <w:r>
        <w:rPr>
          <w:lang w:val="en-GB"/>
        </w:rPr>
        <w:t xml:space="preserve"> Discussions in class and tests will be run accordingly. Students who attend regularly will be invited to take part in seminars (possibly with the participation of </w:t>
      </w:r>
      <w:r>
        <w:rPr>
          <w:lang w:val="en-GB"/>
        </w:rPr>
        <w:lastRenderedPageBreak/>
        <w:t>external experts) as well as discussions on cases and papers provided during lectures and/or through the Blackboard platform.</w:t>
      </w:r>
    </w:p>
    <w:p w:rsidR="003B6D57" w:rsidRPr="00E65E7D" w:rsidRDefault="003B6D57" w:rsidP="003B6D57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747FE5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:rsidR="003B6D57" w:rsidRDefault="003B6D57" w:rsidP="003B6D57">
      <w:pPr>
        <w:pStyle w:val="Testo2"/>
        <w:rPr>
          <w:lang w:val="en-GB"/>
        </w:rPr>
      </w:pPr>
      <w:r>
        <w:rPr>
          <w:lang w:val="en-GB"/>
        </w:rPr>
        <w:t xml:space="preserve">Students </w:t>
      </w:r>
      <w:r w:rsidRPr="00A152C1">
        <w:rPr>
          <w:i/>
          <w:lang w:val="en-GB"/>
        </w:rPr>
        <w:t>who attend regularly</w:t>
      </w:r>
      <w:r>
        <w:rPr>
          <w:lang w:val="en-GB"/>
        </w:rPr>
        <w:t xml:space="preserve"> will be evaluated</w:t>
      </w:r>
      <w:r w:rsidR="00A21D8C">
        <w:rPr>
          <w:lang w:val="en-GB"/>
        </w:rPr>
        <w:t xml:space="preserve"> through </w:t>
      </w:r>
      <w:r w:rsidR="00307624">
        <w:rPr>
          <w:lang w:val="en-GB"/>
        </w:rPr>
        <w:t xml:space="preserve">a final </w:t>
      </w:r>
      <w:r w:rsidR="00A21D8C">
        <w:rPr>
          <w:lang w:val="en-GB"/>
        </w:rPr>
        <w:t>written tests</w:t>
      </w:r>
      <w:r w:rsidR="008433AF">
        <w:rPr>
          <w:lang w:val="en-GB"/>
        </w:rPr>
        <w:t xml:space="preserve">, </w:t>
      </w:r>
      <w:r w:rsidR="00652619">
        <w:rPr>
          <w:lang w:val="en-GB"/>
        </w:rPr>
        <w:t>scheduled</w:t>
      </w:r>
      <w:r w:rsidR="008433AF">
        <w:rPr>
          <w:lang w:val="en-GB"/>
        </w:rPr>
        <w:t xml:space="preserve"> at the end of the course</w:t>
      </w:r>
      <w:r w:rsidR="00307624">
        <w:rPr>
          <w:lang w:val="en-GB"/>
        </w:rPr>
        <w:t>’s lectures</w:t>
      </w:r>
      <w:r w:rsidR="008433AF">
        <w:rPr>
          <w:lang w:val="en-GB"/>
        </w:rPr>
        <w:t>, with a mixed multiple choice / open-ended questions</w:t>
      </w:r>
      <w:r w:rsidR="00DE50F2">
        <w:rPr>
          <w:lang w:val="en-GB"/>
        </w:rPr>
        <w:t xml:space="preserve"> structure</w:t>
      </w:r>
      <w:r w:rsidR="008433AF">
        <w:rPr>
          <w:lang w:val="en-GB"/>
        </w:rPr>
        <w:t>.</w:t>
      </w:r>
      <w:r>
        <w:rPr>
          <w:lang w:val="en-GB"/>
        </w:rPr>
        <w:t xml:space="preserve"> </w:t>
      </w:r>
      <w:r w:rsidR="00307624">
        <w:rPr>
          <w:lang w:val="en-GB"/>
        </w:rPr>
        <w:t>The test</w:t>
      </w:r>
      <w:r w:rsidR="00652619">
        <w:rPr>
          <w:lang w:val="en-GB"/>
        </w:rPr>
        <w:t xml:space="preserve"> will assess the student’s</w:t>
      </w:r>
      <w:r>
        <w:rPr>
          <w:lang w:val="en-GB"/>
        </w:rPr>
        <w:t xml:space="preserve"> understanding of </w:t>
      </w:r>
      <w:r w:rsidR="00652619">
        <w:rPr>
          <w:lang w:val="en-GB"/>
        </w:rPr>
        <w:t xml:space="preserve">course </w:t>
      </w:r>
      <w:r>
        <w:rPr>
          <w:lang w:val="en-GB"/>
        </w:rPr>
        <w:t xml:space="preserve">topics, </w:t>
      </w:r>
      <w:r w:rsidR="00DE50F2">
        <w:rPr>
          <w:lang w:val="en-GB"/>
        </w:rPr>
        <w:t>their knowledge of basic legal terminology and main legal provisions pertaining to cultural heritage and cultural property, their ability to distinguish different legal issues and as</w:t>
      </w:r>
      <w:r w:rsidR="00C44B2B">
        <w:rPr>
          <w:lang w:val="en-GB"/>
        </w:rPr>
        <w:t>s</w:t>
      </w:r>
      <w:r w:rsidR="00DE50F2">
        <w:rPr>
          <w:lang w:val="en-GB"/>
        </w:rPr>
        <w:t>ess the most correct legal references to ad</w:t>
      </w:r>
      <w:r w:rsidR="00481AFD">
        <w:rPr>
          <w:lang w:val="en-GB"/>
        </w:rPr>
        <w:t>d</w:t>
      </w:r>
      <w:r w:rsidR="00DE50F2">
        <w:rPr>
          <w:lang w:val="en-GB"/>
        </w:rPr>
        <w:t>ress them</w:t>
      </w:r>
      <w:r>
        <w:rPr>
          <w:lang w:val="en-GB"/>
        </w:rPr>
        <w:t xml:space="preserve">. </w:t>
      </w:r>
      <w:r w:rsidR="00C44B2B">
        <w:rPr>
          <w:lang w:val="en-GB"/>
        </w:rPr>
        <w:t>Students who attend regularly</w:t>
      </w:r>
      <w:r w:rsidR="00481AFD">
        <w:rPr>
          <w:lang w:val="en-GB"/>
        </w:rPr>
        <w:t>,</w:t>
      </w:r>
      <w:r w:rsidR="00C44B2B">
        <w:rPr>
          <w:lang w:val="en-GB"/>
        </w:rPr>
        <w:t xml:space="preserve"> but who happen to </w:t>
      </w:r>
      <w:r w:rsidR="00FC0452">
        <w:rPr>
          <w:lang w:val="en-GB"/>
        </w:rPr>
        <w:t xml:space="preserve">fail </w:t>
      </w:r>
      <w:r w:rsidR="00307624">
        <w:rPr>
          <w:lang w:val="en-GB"/>
        </w:rPr>
        <w:t>the written test</w:t>
      </w:r>
      <w:r w:rsidR="00481AFD">
        <w:rPr>
          <w:lang w:val="en-GB"/>
        </w:rPr>
        <w:t>,</w:t>
      </w:r>
      <w:r w:rsidR="00FC0452">
        <w:rPr>
          <w:lang w:val="en-GB"/>
        </w:rPr>
        <w:t xml:space="preserve"> will </w:t>
      </w:r>
      <w:r w:rsidR="001273AD">
        <w:rPr>
          <w:lang w:val="en-GB"/>
        </w:rPr>
        <w:t>need</w:t>
      </w:r>
      <w:r w:rsidR="00FC0452">
        <w:rPr>
          <w:lang w:val="en-GB"/>
        </w:rPr>
        <w:t xml:space="preserve"> to </w:t>
      </w:r>
      <w:r w:rsidR="003012D2">
        <w:rPr>
          <w:lang w:val="en-GB"/>
        </w:rPr>
        <w:t xml:space="preserve">take a further oral </w:t>
      </w:r>
      <w:r w:rsidR="00481AFD">
        <w:rPr>
          <w:lang w:val="en-GB"/>
        </w:rPr>
        <w:t>examination</w:t>
      </w:r>
      <w:r w:rsidR="003012D2">
        <w:rPr>
          <w:lang w:val="en-GB"/>
        </w:rPr>
        <w:t xml:space="preserve">. Students who wish to improve their evaluation as resulting from the aforementioned </w:t>
      </w:r>
      <w:r w:rsidR="00426A5F">
        <w:rPr>
          <w:lang w:val="en-GB"/>
        </w:rPr>
        <w:t>written test</w:t>
      </w:r>
      <w:r w:rsidR="003012D2">
        <w:rPr>
          <w:lang w:val="en-GB"/>
        </w:rPr>
        <w:t xml:space="preserve"> will also be able to take a further oral examination, </w:t>
      </w:r>
      <w:r w:rsidR="00481AFD">
        <w:rPr>
          <w:lang w:val="en-GB"/>
        </w:rPr>
        <w:t>covering</w:t>
      </w:r>
      <w:r w:rsidR="003012D2">
        <w:rPr>
          <w:lang w:val="en-GB"/>
        </w:rPr>
        <w:t xml:space="preserve"> all course topics</w:t>
      </w:r>
      <w:r>
        <w:rPr>
          <w:lang w:val="en-GB"/>
        </w:rPr>
        <w:t>.</w:t>
      </w:r>
      <w:r w:rsidR="00481AFD">
        <w:rPr>
          <w:lang w:val="en-GB"/>
        </w:rPr>
        <w:t xml:space="preserve"> Further details will be published on Blackboard.</w:t>
      </w:r>
      <w:r w:rsidR="00E33CEC">
        <w:rPr>
          <w:lang w:val="en-GB"/>
        </w:rPr>
        <w:t xml:space="preserve"> </w:t>
      </w:r>
    </w:p>
    <w:p w:rsidR="003B6D57" w:rsidRDefault="003B6D57" w:rsidP="003B6D57">
      <w:pPr>
        <w:pStyle w:val="Testo2"/>
        <w:rPr>
          <w:lang w:val="en-GB"/>
        </w:rPr>
      </w:pPr>
      <w:r>
        <w:rPr>
          <w:lang w:val="en-GB"/>
        </w:rPr>
        <w:t xml:space="preserve">The understanding and abilities of students </w:t>
      </w:r>
      <w:r w:rsidRPr="00A152C1">
        <w:rPr>
          <w:i/>
          <w:lang w:val="en-GB"/>
        </w:rPr>
        <w:t>wh</w:t>
      </w:r>
      <w:r w:rsidR="0055029F" w:rsidRPr="00A152C1">
        <w:rPr>
          <w:i/>
          <w:lang w:val="en-GB"/>
        </w:rPr>
        <w:t>o</w:t>
      </w:r>
      <w:r w:rsidRPr="00A152C1">
        <w:rPr>
          <w:i/>
          <w:lang w:val="en-GB"/>
        </w:rPr>
        <w:t xml:space="preserve"> have not regularly attended</w:t>
      </w:r>
      <w:r>
        <w:rPr>
          <w:lang w:val="en-GB"/>
        </w:rPr>
        <w:t xml:space="preserve"> lectures will be assessed through a thorough final oral examination.</w:t>
      </w:r>
      <w:r w:rsidR="001273AD">
        <w:rPr>
          <w:lang w:val="en-GB"/>
        </w:rPr>
        <w:t xml:space="preserve"> Students who are unable to attend are strongly </w:t>
      </w:r>
      <w:r w:rsidR="00FB217B">
        <w:rPr>
          <w:lang w:val="en-GB"/>
        </w:rPr>
        <w:t>e</w:t>
      </w:r>
      <w:r w:rsidR="001273AD">
        <w:rPr>
          <w:lang w:val="en-GB"/>
        </w:rPr>
        <w:t>ncouraged to get in touch with the teacher before st</w:t>
      </w:r>
      <w:r w:rsidR="00E83A3B">
        <w:rPr>
          <w:lang w:val="en-GB"/>
        </w:rPr>
        <w:t>arting their preparation, to better understand the specificities of the course topics and how to make the best use of the referred reading list</w:t>
      </w:r>
      <w:r w:rsidR="001273AD">
        <w:rPr>
          <w:lang w:val="en-GB"/>
        </w:rPr>
        <w:t>.</w:t>
      </w:r>
    </w:p>
    <w:p w:rsidR="00796A02" w:rsidRPr="00E65E7D" w:rsidRDefault="00796A02" w:rsidP="00796A0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NOTES</w:t>
      </w:r>
      <w:r w:rsidR="001D1272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:rsidR="001D1272" w:rsidRDefault="001D1272" w:rsidP="00796A02">
      <w:pPr>
        <w:pStyle w:val="Testo2"/>
        <w:rPr>
          <w:lang w:val="en-GB"/>
        </w:rPr>
      </w:pPr>
      <w:r>
        <w:rPr>
          <w:lang w:val="en-GB"/>
        </w:rPr>
        <w:t>Students will not be evaluated on the quality of their English, but it is required that they</w:t>
      </w:r>
      <w:r w:rsidRPr="003041B1">
        <w:rPr>
          <w:lang w:val="en-GB"/>
        </w:rPr>
        <w:t xml:space="preserve"> are able to</w:t>
      </w:r>
      <w:r w:rsidR="0092234A">
        <w:rPr>
          <w:lang w:val="en-GB"/>
        </w:rPr>
        <w:t xml:space="preserve"> correctly</w:t>
      </w:r>
      <w:r w:rsidRPr="003041B1">
        <w:rPr>
          <w:lang w:val="en-GB"/>
        </w:rPr>
        <w:t xml:space="preserve"> understand and discuss course topics in </w:t>
      </w:r>
      <w:r>
        <w:rPr>
          <w:lang w:val="en-GB"/>
        </w:rPr>
        <w:t>that language</w:t>
      </w:r>
      <w:r w:rsidRPr="003041B1">
        <w:rPr>
          <w:lang w:val="en-GB"/>
        </w:rPr>
        <w:t xml:space="preserve">, and that </w:t>
      </w:r>
      <w:r>
        <w:rPr>
          <w:lang w:val="en-GB"/>
        </w:rPr>
        <w:t>they</w:t>
      </w:r>
      <w:r w:rsidRPr="003041B1">
        <w:rPr>
          <w:lang w:val="en-GB"/>
        </w:rPr>
        <w:t xml:space="preserve"> acquire the </w:t>
      </w:r>
      <w:r>
        <w:rPr>
          <w:lang w:val="en-GB"/>
        </w:rPr>
        <w:t>correct</w:t>
      </w:r>
      <w:r w:rsidRPr="003041B1">
        <w:rPr>
          <w:lang w:val="en-GB"/>
        </w:rPr>
        <w:t xml:space="preserve"> technical terminology</w:t>
      </w:r>
      <w:r>
        <w:rPr>
          <w:lang w:val="en-GB"/>
        </w:rPr>
        <w:t>.</w:t>
      </w:r>
    </w:p>
    <w:p w:rsidR="00796A02" w:rsidRDefault="001C7955" w:rsidP="00796A02">
      <w:pPr>
        <w:pStyle w:val="Testo2"/>
        <w:rPr>
          <w:lang w:val="en-GB"/>
        </w:rPr>
      </w:pPr>
      <w:r>
        <w:rPr>
          <w:lang w:val="en-GB"/>
        </w:rPr>
        <w:t>Law students</w:t>
      </w:r>
      <w:r w:rsidR="007B1057">
        <w:rPr>
          <w:lang w:val="en-GB"/>
        </w:rPr>
        <w:t>,</w:t>
      </w:r>
      <w:r w:rsidR="00E33CEC">
        <w:rPr>
          <w:lang w:val="en-GB"/>
        </w:rPr>
        <w:t xml:space="preserve"> who w</w:t>
      </w:r>
      <w:r>
        <w:rPr>
          <w:lang w:val="en-GB"/>
        </w:rPr>
        <w:t>ish to attend the course</w:t>
      </w:r>
      <w:r w:rsidR="007B1057">
        <w:rPr>
          <w:lang w:val="en-GB"/>
        </w:rPr>
        <w:t>,</w:t>
      </w:r>
      <w:r>
        <w:rPr>
          <w:lang w:val="en-GB"/>
        </w:rPr>
        <w:t xml:space="preserve"> are required to check for possible differences in course</w:t>
      </w:r>
      <w:r w:rsidR="007B1057">
        <w:rPr>
          <w:lang w:val="en-GB"/>
        </w:rPr>
        <w:t>s</w:t>
      </w:r>
      <w:r>
        <w:rPr>
          <w:lang w:val="en-GB"/>
        </w:rPr>
        <w:t xml:space="preserve"> calendars and</w:t>
      </w:r>
      <w:r w:rsidR="007B1057">
        <w:rPr>
          <w:lang w:val="en-GB"/>
        </w:rPr>
        <w:t xml:space="preserve"> to</w:t>
      </w:r>
      <w:r>
        <w:rPr>
          <w:lang w:val="en-GB"/>
        </w:rPr>
        <w:t xml:space="preserve"> ascertain the</w:t>
      </w:r>
      <w:r w:rsidR="00A96E2B">
        <w:rPr>
          <w:lang w:val="en-GB"/>
        </w:rPr>
        <w:t xml:space="preserve"> starting</w:t>
      </w:r>
      <w:r>
        <w:rPr>
          <w:lang w:val="en-GB"/>
        </w:rPr>
        <w:t xml:space="preserve"> date </w:t>
      </w:r>
      <w:r w:rsidR="00A96E2B">
        <w:rPr>
          <w:lang w:val="en-GB"/>
        </w:rPr>
        <w:t xml:space="preserve">of </w:t>
      </w:r>
      <w:r w:rsidR="00571BBC">
        <w:rPr>
          <w:lang w:val="en-GB"/>
        </w:rPr>
        <w:t>Law and the Arts</w:t>
      </w:r>
      <w:r w:rsidR="00A96E2B">
        <w:rPr>
          <w:lang w:val="en-GB"/>
        </w:rPr>
        <w:t xml:space="preserve"> lectures, which </w:t>
      </w:r>
      <w:r w:rsidR="0092234A">
        <w:rPr>
          <w:lang w:val="en-GB"/>
        </w:rPr>
        <w:t>follows the schedule of the Faculty of Economics</w:t>
      </w:r>
      <w:r w:rsidR="00A96E2B">
        <w:rPr>
          <w:lang w:val="en-GB"/>
        </w:rPr>
        <w:t>.</w:t>
      </w:r>
    </w:p>
    <w:p w:rsidR="00E64B0B" w:rsidRPr="003B6D57" w:rsidRDefault="00E64B0B" w:rsidP="00796A02">
      <w:pPr>
        <w:pStyle w:val="Testo2"/>
        <w:rPr>
          <w:lang w:val="en-GB"/>
        </w:rPr>
      </w:pPr>
      <w:r>
        <w:rPr>
          <w:lang w:val="en-GB"/>
        </w:rPr>
        <w:t>In the event of a persisting health emergency related to the Covid-19 epidemic</w:t>
      </w:r>
      <w:r w:rsidR="00764DB8">
        <w:rPr>
          <w:lang w:val="en-GB"/>
        </w:rPr>
        <w:t xml:space="preserve"> not allowing teaching activities in class,</w:t>
      </w:r>
      <w:r w:rsidR="00402B43">
        <w:rPr>
          <w:lang w:val="en-GB"/>
        </w:rPr>
        <w:t xml:space="preserve"> the</w:t>
      </w:r>
      <w:r w:rsidR="00764DB8">
        <w:rPr>
          <w:lang w:val="en-GB"/>
        </w:rPr>
        <w:t xml:space="preserve"> possibility to attend the course will </w:t>
      </w:r>
      <w:r w:rsidR="00402B43">
        <w:rPr>
          <w:lang w:val="en-GB"/>
        </w:rPr>
        <w:t>anyway be</w:t>
      </w:r>
      <w:r w:rsidR="00764DB8">
        <w:rPr>
          <w:lang w:val="en-GB"/>
        </w:rPr>
        <w:t xml:space="preserve"> granted </w:t>
      </w:r>
      <w:r w:rsidR="00402B43">
        <w:rPr>
          <w:lang w:val="en-GB"/>
        </w:rPr>
        <w:t>thro</w:t>
      </w:r>
      <w:r w:rsidR="00FA1908">
        <w:rPr>
          <w:lang w:val="en-GB"/>
        </w:rPr>
        <w:t>ugh distance learning methods</w:t>
      </w:r>
      <w:r w:rsidR="00402B43">
        <w:rPr>
          <w:lang w:val="en-GB"/>
        </w:rPr>
        <w:t>, the details of which will be promptly made known to students.</w:t>
      </w:r>
      <w:r w:rsidR="00764DB8">
        <w:rPr>
          <w:lang w:val="en-GB"/>
        </w:rPr>
        <w:t xml:space="preserve"> </w:t>
      </w:r>
    </w:p>
    <w:sectPr w:rsidR="00E64B0B" w:rsidRPr="003B6D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78" w:rsidRDefault="00343478" w:rsidP="003B6D57">
      <w:pPr>
        <w:spacing w:line="240" w:lineRule="auto"/>
      </w:pPr>
      <w:r>
        <w:separator/>
      </w:r>
    </w:p>
  </w:endnote>
  <w:endnote w:type="continuationSeparator" w:id="0">
    <w:p w:rsidR="00343478" w:rsidRDefault="00343478" w:rsidP="003B6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78" w:rsidRDefault="00343478" w:rsidP="003B6D57">
      <w:pPr>
        <w:spacing w:line="240" w:lineRule="auto"/>
      </w:pPr>
      <w:r>
        <w:separator/>
      </w:r>
    </w:p>
  </w:footnote>
  <w:footnote w:type="continuationSeparator" w:id="0">
    <w:p w:rsidR="00343478" w:rsidRDefault="00343478" w:rsidP="003B6D57">
      <w:pPr>
        <w:spacing w:line="240" w:lineRule="auto"/>
      </w:pPr>
      <w:r>
        <w:continuationSeparator/>
      </w:r>
    </w:p>
  </w:footnote>
  <w:footnote w:id="1">
    <w:p w:rsidR="00FF2A4A" w:rsidRDefault="00FF2A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2"/>
    <w:rsid w:val="000A38BD"/>
    <w:rsid w:val="000B0145"/>
    <w:rsid w:val="000F6666"/>
    <w:rsid w:val="001026C7"/>
    <w:rsid w:val="001273AD"/>
    <w:rsid w:val="001402A0"/>
    <w:rsid w:val="00153DB3"/>
    <w:rsid w:val="00187B99"/>
    <w:rsid w:val="001A7C39"/>
    <w:rsid w:val="001C7955"/>
    <w:rsid w:val="001D1272"/>
    <w:rsid w:val="001F6071"/>
    <w:rsid w:val="002014DD"/>
    <w:rsid w:val="00280499"/>
    <w:rsid w:val="00285FB9"/>
    <w:rsid w:val="002B5E85"/>
    <w:rsid w:val="002C7339"/>
    <w:rsid w:val="002E787D"/>
    <w:rsid w:val="003012D2"/>
    <w:rsid w:val="00307624"/>
    <w:rsid w:val="00343478"/>
    <w:rsid w:val="00357D4B"/>
    <w:rsid w:val="003B6D57"/>
    <w:rsid w:val="00402B43"/>
    <w:rsid w:val="00426A5F"/>
    <w:rsid w:val="00454B82"/>
    <w:rsid w:val="00476F43"/>
    <w:rsid w:val="00481AFD"/>
    <w:rsid w:val="004844E6"/>
    <w:rsid w:val="004D1217"/>
    <w:rsid w:val="004D2A93"/>
    <w:rsid w:val="004D6008"/>
    <w:rsid w:val="005155BD"/>
    <w:rsid w:val="0055029F"/>
    <w:rsid w:val="00571BBC"/>
    <w:rsid w:val="00590A9C"/>
    <w:rsid w:val="005B6CF9"/>
    <w:rsid w:val="005E7518"/>
    <w:rsid w:val="005F3C28"/>
    <w:rsid w:val="00630CE6"/>
    <w:rsid w:val="00652619"/>
    <w:rsid w:val="006751F8"/>
    <w:rsid w:val="006B3A12"/>
    <w:rsid w:val="006D3FBA"/>
    <w:rsid w:val="006F1772"/>
    <w:rsid w:val="0072206E"/>
    <w:rsid w:val="00747FE5"/>
    <w:rsid w:val="00764DB8"/>
    <w:rsid w:val="007830EA"/>
    <w:rsid w:val="00796A02"/>
    <w:rsid w:val="00797913"/>
    <w:rsid w:val="007B1057"/>
    <w:rsid w:val="008433AF"/>
    <w:rsid w:val="008A1204"/>
    <w:rsid w:val="00900CCA"/>
    <w:rsid w:val="00920E92"/>
    <w:rsid w:val="0092234A"/>
    <w:rsid w:val="00924B77"/>
    <w:rsid w:val="00937910"/>
    <w:rsid w:val="00940DA2"/>
    <w:rsid w:val="009B10AB"/>
    <w:rsid w:val="009D32CA"/>
    <w:rsid w:val="009E055C"/>
    <w:rsid w:val="00A01834"/>
    <w:rsid w:val="00A152C1"/>
    <w:rsid w:val="00A21D8C"/>
    <w:rsid w:val="00A74F6F"/>
    <w:rsid w:val="00A953A2"/>
    <w:rsid w:val="00A96E2B"/>
    <w:rsid w:val="00AD7557"/>
    <w:rsid w:val="00B17A22"/>
    <w:rsid w:val="00B51253"/>
    <w:rsid w:val="00B525CC"/>
    <w:rsid w:val="00BB073C"/>
    <w:rsid w:val="00BB5410"/>
    <w:rsid w:val="00BD0415"/>
    <w:rsid w:val="00C251F7"/>
    <w:rsid w:val="00C44B2B"/>
    <w:rsid w:val="00CF679E"/>
    <w:rsid w:val="00D404F2"/>
    <w:rsid w:val="00D653FE"/>
    <w:rsid w:val="00D71C40"/>
    <w:rsid w:val="00DB15E2"/>
    <w:rsid w:val="00DE50F2"/>
    <w:rsid w:val="00E33CEC"/>
    <w:rsid w:val="00E607E6"/>
    <w:rsid w:val="00E64B0B"/>
    <w:rsid w:val="00E83A3B"/>
    <w:rsid w:val="00FA1908"/>
    <w:rsid w:val="00FB217B"/>
    <w:rsid w:val="00FC0452"/>
    <w:rsid w:val="00FE016E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B6D5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B6D57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3B6D5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  <w:lang w:eastAsia="en-US"/>
    </w:rPr>
  </w:style>
  <w:style w:type="character" w:customStyle="1" w:styleId="PidipaginaCarattere">
    <w:name w:val="Piè di pagina Carattere"/>
    <w:link w:val="Pidipagina"/>
    <w:rsid w:val="003B6D57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2A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A4A"/>
  </w:style>
  <w:style w:type="character" w:styleId="Rimandonotaapidipagina">
    <w:name w:val="footnote reference"/>
    <w:basedOn w:val="Carpredefinitoparagrafo"/>
    <w:semiHidden/>
    <w:unhideWhenUsed/>
    <w:rsid w:val="00FF2A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B6D5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B6D57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3B6D57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sz w:val="24"/>
      <w:lang w:eastAsia="en-US"/>
    </w:rPr>
  </w:style>
  <w:style w:type="character" w:customStyle="1" w:styleId="PidipaginaCarattere">
    <w:name w:val="Piè di pagina Carattere"/>
    <w:link w:val="Pidipagina"/>
    <w:rsid w:val="003B6D57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2A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A4A"/>
  </w:style>
  <w:style w:type="character" w:styleId="Rimandonotaapidipagina">
    <w:name w:val="footnote reference"/>
    <w:basedOn w:val="Carpredefinitoparagrafo"/>
    <w:semiHidden/>
    <w:unhideWhenUsed/>
    <w:rsid w:val="00FF2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E617-3F82-4D63-B9BB-B4964689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1011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Law and the Arts</vt:lpstr>
    </vt:vector>
  </TitlesOfParts>
  <Company>U.C.S.C. MILANO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the Arts</dc:title>
  <dc:subject/>
  <dc:creator>s-ufgu-01-mi</dc:creator>
  <cp:keywords/>
  <cp:lastModifiedBy>Rolli Andrea</cp:lastModifiedBy>
  <cp:revision>3</cp:revision>
  <cp:lastPrinted>2003-03-27T10:42:00Z</cp:lastPrinted>
  <dcterms:created xsi:type="dcterms:W3CDTF">2020-05-21T12:41:00Z</dcterms:created>
  <dcterms:modified xsi:type="dcterms:W3CDTF">2020-07-03T13:11:00Z</dcterms:modified>
</cp:coreProperties>
</file>