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E4" w:rsidRPr="00E16036" w:rsidRDefault="009B1CE4" w:rsidP="009B1CE4">
      <w:pPr>
        <w:pStyle w:val="Titolo1"/>
        <w:rPr>
          <w:lang w:val="en-US"/>
        </w:rPr>
      </w:pPr>
      <w:r w:rsidRPr="00E16036">
        <w:rPr>
          <w:lang w:val="en-US"/>
        </w:rPr>
        <w:t>Supply chain management</w:t>
      </w:r>
    </w:p>
    <w:p w:rsidR="009B1CE4" w:rsidRPr="00E16036" w:rsidRDefault="009B1CE4" w:rsidP="009B1CE4">
      <w:pPr>
        <w:pStyle w:val="Titolo2"/>
        <w:rPr>
          <w:lang w:val="en-US"/>
        </w:rPr>
      </w:pPr>
      <w:r w:rsidRPr="00E16036">
        <w:rPr>
          <w:lang w:val="en-US"/>
        </w:rPr>
        <w:t>Prof. Valeria Belvedere</w:t>
      </w:r>
      <w:r>
        <w:rPr>
          <w:lang w:val="en-US"/>
        </w:rPr>
        <w:t>; Prof. Herbert Kotzab</w:t>
      </w:r>
    </w:p>
    <w:p w:rsidR="009B1CE4" w:rsidRPr="00514034" w:rsidRDefault="009B1CE4" w:rsidP="009B1CE4">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9B1CE4" w:rsidRDefault="009B1CE4" w:rsidP="009B1CE4">
      <w:pPr>
        <w:rPr>
          <w:szCs w:val="20"/>
          <w:lang w:val="en-US"/>
        </w:rPr>
      </w:pPr>
      <w:r>
        <w:rPr>
          <w:szCs w:val="20"/>
          <w:lang w:val="en-US"/>
        </w:rPr>
        <w:t>During this course,</w:t>
      </w:r>
      <w:r w:rsidRPr="006670E6">
        <w:rPr>
          <w:szCs w:val="20"/>
          <w:lang w:val="en-US"/>
        </w:rPr>
        <w:t xml:space="preserve"> </w:t>
      </w:r>
      <w:r>
        <w:rPr>
          <w:szCs w:val="20"/>
          <w:lang w:val="en-US"/>
        </w:rPr>
        <w:t xml:space="preserve">students </w:t>
      </w:r>
      <w:r w:rsidRPr="006670E6">
        <w:rPr>
          <w:szCs w:val="20"/>
          <w:lang w:val="en-US"/>
        </w:rPr>
        <w:t xml:space="preserve">will learn how companies should design and manage their supply chain. Namely, the main supply chain strategies will be outlined and the key processes, peculiar to supply chain management, will be introduced. </w:t>
      </w:r>
      <w:r>
        <w:rPr>
          <w:szCs w:val="20"/>
          <w:lang w:val="en-US"/>
        </w:rPr>
        <w:t>S</w:t>
      </w:r>
      <w:r w:rsidRPr="006670E6">
        <w:rPr>
          <w:szCs w:val="20"/>
          <w:lang w:val="en-US"/>
        </w:rPr>
        <w:t xml:space="preserve">uch processes as sales &amp; operations planning, inventory management, procurement management and physical distribution will be addressed. Furthermore, </w:t>
      </w:r>
      <w:r>
        <w:rPr>
          <w:szCs w:val="20"/>
          <w:lang w:val="en-US"/>
        </w:rPr>
        <w:t>students</w:t>
      </w:r>
      <w:r w:rsidRPr="006670E6">
        <w:rPr>
          <w:szCs w:val="20"/>
          <w:lang w:val="en-US"/>
        </w:rPr>
        <w:t xml:space="preserve"> will learn how supply chain partners can interact</w:t>
      </w:r>
      <w:r>
        <w:rPr>
          <w:szCs w:val="20"/>
          <w:lang w:val="en-US"/>
        </w:rPr>
        <w:t xml:space="preserve"> with each other</w:t>
      </w:r>
      <w:r w:rsidRPr="006670E6">
        <w:rPr>
          <w:szCs w:val="20"/>
          <w:lang w:val="en-US"/>
        </w:rPr>
        <w:t xml:space="preserve"> in order to remove (or </w:t>
      </w:r>
      <w:r>
        <w:rPr>
          <w:szCs w:val="20"/>
          <w:lang w:val="en-US"/>
        </w:rPr>
        <w:t xml:space="preserve">at least </w:t>
      </w:r>
      <w:r w:rsidRPr="006670E6">
        <w:rPr>
          <w:szCs w:val="20"/>
          <w:lang w:val="en-US"/>
        </w:rPr>
        <w:t xml:space="preserve">reduce) the pathologies that a lack of </w:t>
      </w:r>
      <w:r>
        <w:rPr>
          <w:szCs w:val="20"/>
          <w:lang w:val="en-US"/>
        </w:rPr>
        <w:t>cooperation generally produces.</w:t>
      </w:r>
    </w:p>
    <w:p w:rsidR="009B1CE4" w:rsidRDefault="009B1CE4" w:rsidP="009B1CE4">
      <w:pPr>
        <w:rPr>
          <w:szCs w:val="20"/>
          <w:lang w:val="en-US"/>
        </w:rPr>
      </w:pPr>
      <w:r>
        <w:rPr>
          <w:szCs w:val="20"/>
          <w:lang w:val="en-US"/>
        </w:rPr>
        <w:t>At the end of the course students:</w:t>
      </w:r>
    </w:p>
    <w:p w:rsidR="009B1CE4" w:rsidRDefault="009B1CE4" w:rsidP="009B1CE4">
      <w:pPr>
        <w:pStyle w:val="Paragrafoelenco"/>
        <w:numPr>
          <w:ilvl w:val="0"/>
          <w:numId w:val="1"/>
        </w:numPr>
        <w:ind w:left="284" w:hanging="284"/>
        <w:rPr>
          <w:lang w:val="en-US"/>
        </w:rPr>
      </w:pPr>
      <w:r>
        <w:rPr>
          <w:lang w:val="en-US"/>
        </w:rPr>
        <w:t>Will be familiar with the main concepts and theories concerning supply chain design and management;</w:t>
      </w:r>
    </w:p>
    <w:p w:rsidR="009B1CE4" w:rsidRDefault="009B1CE4" w:rsidP="009B1CE4">
      <w:pPr>
        <w:pStyle w:val="Paragrafoelenco"/>
        <w:numPr>
          <w:ilvl w:val="0"/>
          <w:numId w:val="1"/>
        </w:numPr>
        <w:ind w:left="284" w:hanging="284"/>
        <w:rPr>
          <w:lang w:val="en-US"/>
        </w:rPr>
      </w:pPr>
      <w:r>
        <w:rPr>
          <w:lang w:val="en-US"/>
        </w:rPr>
        <w:t>Will be able to implement their knowledge in this field in order to analyze the supply chains of manufacturing companies, to identify improvement opportunities and to suggest appropriate actions;</w:t>
      </w:r>
    </w:p>
    <w:p w:rsidR="009B1CE4" w:rsidRDefault="009B1CE4" w:rsidP="009B1CE4">
      <w:pPr>
        <w:pStyle w:val="Paragrafoelenco"/>
        <w:numPr>
          <w:ilvl w:val="0"/>
          <w:numId w:val="1"/>
        </w:numPr>
        <w:ind w:left="284" w:hanging="284"/>
        <w:rPr>
          <w:lang w:val="en-US"/>
        </w:rPr>
      </w:pPr>
      <w:r>
        <w:rPr>
          <w:lang w:val="en-US"/>
        </w:rPr>
        <w:t>Will be able to autonomously address and solve managerial problems in the context of supply chain management, collecting relevant data and analyzing it through sound methodologies suitable for developing tailored solutions; they will be able to express their personal assessment on complex problems, providing insights also on the ethical aspects of the issue under analysis;</w:t>
      </w:r>
    </w:p>
    <w:p w:rsidR="009B1CE4" w:rsidRDefault="009B1CE4" w:rsidP="009B1CE4">
      <w:pPr>
        <w:pStyle w:val="Paragrafoelenco"/>
        <w:numPr>
          <w:ilvl w:val="0"/>
          <w:numId w:val="1"/>
        </w:numPr>
        <w:ind w:left="284" w:hanging="284"/>
        <w:rPr>
          <w:lang w:val="en-US"/>
        </w:rPr>
      </w:pPr>
      <w:r>
        <w:rPr>
          <w:lang w:val="en-US"/>
        </w:rPr>
        <w:t>Will be able to communicate in a clear and effective way their knowledge, ideas and improvement suggestions to both managers and novices of this field;</w:t>
      </w:r>
    </w:p>
    <w:p w:rsidR="002D5E17" w:rsidRPr="009B1CE4" w:rsidRDefault="009B1CE4" w:rsidP="002D5E17">
      <w:pPr>
        <w:pStyle w:val="Paragrafoelenco"/>
        <w:numPr>
          <w:ilvl w:val="0"/>
          <w:numId w:val="1"/>
        </w:numPr>
        <w:ind w:left="284" w:hanging="284"/>
        <w:rPr>
          <w:lang w:val="en-US"/>
        </w:rPr>
      </w:pPr>
      <w:r>
        <w:rPr>
          <w:lang w:val="en-US"/>
        </w:rPr>
        <w:t>Will be able to keep on learning the topics of supply chain management, widening their knowledge and understanding of this subject through the reading of further materials and the real life experience in challenging contexts.</w:t>
      </w:r>
    </w:p>
    <w:p w:rsidR="009B1CE4" w:rsidRPr="00514034" w:rsidRDefault="009B1CE4" w:rsidP="009B1CE4">
      <w:pPr>
        <w:spacing w:before="240" w:after="120"/>
        <w:rPr>
          <w:b/>
          <w:i/>
          <w:sz w:val="18"/>
          <w:lang w:val="en-US"/>
        </w:rPr>
      </w:pPr>
      <w:r w:rsidRPr="00514034">
        <w:rPr>
          <w:b/>
          <w:i/>
          <w:sz w:val="18"/>
          <w:lang w:val="en-US"/>
        </w:rPr>
        <w:t>COURSE CONTENT</w:t>
      </w:r>
    </w:p>
    <w:p w:rsidR="009B1CE4" w:rsidRPr="00D049FE" w:rsidRDefault="009B1CE4" w:rsidP="009B1CE4">
      <w:pPr>
        <w:rPr>
          <w:szCs w:val="20"/>
          <w:lang w:val="en-US"/>
        </w:rPr>
      </w:pPr>
      <w:r w:rsidRPr="00D049FE">
        <w:rPr>
          <w:szCs w:val="20"/>
          <w:lang w:val="en-US"/>
        </w:rPr>
        <w:t>The main topics addressed during this course are:</w:t>
      </w:r>
    </w:p>
    <w:p w:rsidR="009B1CE4" w:rsidRDefault="009B1CE4" w:rsidP="009B1CE4">
      <w:pPr>
        <w:pStyle w:val="Paragrafoelenco"/>
        <w:numPr>
          <w:ilvl w:val="0"/>
          <w:numId w:val="2"/>
        </w:numPr>
        <w:ind w:left="284" w:hanging="284"/>
        <w:rPr>
          <w:lang w:val="en-US"/>
        </w:rPr>
      </w:pPr>
      <w:r w:rsidRPr="00B90FF5">
        <w:rPr>
          <w:lang w:val="en-US"/>
        </w:rPr>
        <w:t>Supply Chain Management</w:t>
      </w:r>
      <w:r>
        <w:rPr>
          <w:lang w:val="en-US"/>
        </w:rPr>
        <w:t>: challenges and strategies.</w:t>
      </w:r>
    </w:p>
    <w:p w:rsidR="009B1CE4" w:rsidRDefault="009B1CE4" w:rsidP="009B1CE4">
      <w:pPr>
        <w:pStyle w:val="Paragrafoelenco"/>
        <w:numPr>
          <w:ilvl w:val="0"/>
          <w:numId w:val="2"/>
        </w:numPr>
        <w:ind w:left="284" w:hanging="284"/>
        <w:rPr>
          <w:lang w:val="en-US"/>
        </w:rPr>
      </w:pPr>
      <w:r>
        <w:rPr>
          <w:lang w:val="en-US"/>
        </w:rPr>
        <w:t>Supply Chain Performance: an overview of the key service and cost metrics.</w:t>
      </w:r>
    </w:p>
    <w:p w:rsidR="009B1CE4" w:rsidRDefault="009B1CE4" w:rsidP="009B1CE4">
      <w:pPr>
        <w:pStyle w:val="Paragrafoelenco"/>
        <w:numPr>
          <w:ilvl w:val="0"/>
          <w:numId w:val="2"/>
        </w:numPr>
        <w:ind w:left="284" w:hanging="284"/>
        <w:rPr>
          <w:lang w:val="en-US"/>
        </w:rPr>
      </w:pPr>
      <w:r>
        <w:rPr>
          <w:lang w:val="en-US"/>
        </w:rPr>
        <w:t>Demand Forecasting and Production Planning.</w:t>
      </w:r>
    </w:p>
    <w:p w:rsidR="009B1CE4" w:rsidRPr="00012161" w:rsidRDefault="009B1CE4" w:rsidP="009B1CE4">
      <w:pPr>
        <w:pStyle w:val="Paragrafoelenco"/>
        <w:numPr>
          <w:ilvl w:val="0"/>
          <w:numId w:val="2"/>
        </w:numPr>
        <w:ind w:left="284" w:hanging="284"/>
        <w:rPr>
          <w:lang w:val="en-US"/>
        </w:rPr>
      </w:pPr>
      <w:r>
        <w:rPr>
          <w:lang w:val="en-US"/>
        </w:rPr>
        <w:t>Inventory Management Techniques.</w:t>
      </w:r>
    </w:p>
    <w:p w:rsidR="009B1CE4" w:rsidRDefault="009B1CE4" w:rsidP="009B1CE4">
      <w:pPr>
        <w:pStyle w:val="Paragrafoelenco"/>
        <w:numPr>
          <w:ilvl w:val="0"/>
          <w:numId w:val="2"/>
        </w:numPr>
        <w:ind w:left="284" w:hanging="284"/>
        <w:rPr>
          <w:lang w:val="en-US"/>
        </w:rPr>
      </w:pPr>
      <w:r>
        <w:rPr>
          <w:lang w:val="en-US"/>
        </w:rPr>
        <w:t>Distribution network design and management.</w:t>
      </w:r>
    </w:p>
    <w:p w:rsidR="009B1CE4" w:rsidRDefault="009B1CE4" w:rsidP="009B1CE4">
      <w:pPr>
        <w:pStyle w:val="Paragrafoelenco"/>
        <w:numPr>
          <w:ilvl w:val="0"/>
          <w:numId w:val="2"/>
        </w:numPr>
        <w:ind w:left="284" w:hanging="284"/>
        <w:rPr>
          <w:lang w:val="en-US"/>
        </w:rPr>
      </w:pPr>
      <w:r>
        <w:rPr>
          <w:lang w:val="en-US"/>
        </w:rPr>
        <w:t>Procurement management: sourcing strategies and vendor selection.</w:t>
      </w:r>
    </w:p>
    <w:p w:rsidR="009B1CE4" w:rsidRPr="009B1CE4" w:rsidRDefault="009B1CE4" w:rsidP="009B1CE4">
      <w:pPr>
        <w:pStyle w:val="Paragrafoelenco"/>
        <w:numPr>
          <w:ilvl w:val="0"/>
          <w:numId w:val="2"/>
        </w:numPr>
        <w:ind w:left="284" w:hanging="284"/>
        <w:rPr>
          <w:lang w:val="en-US"/>
        </w:rPr>
      </w:pPr>
      <w:r w:rsidRPr="00FA4FB7">
        <w:rPr>
          <w:lang w:val="en-US"/>
        </w:rPr>
        <w:lastRenderedPageBreak/>
        <w:t>Collaborative practices along the supply chain</w:t>
      </w:r>
      <w:r>
        <w:rPr>
          <w:lang w:val="en-US"/>
        </w:rPr>
        <w:t>.</w:t>
      </w:r>
    </w:p>
    <w:p w:rsidR="009B1CE4" w:rsidRPr="00514034" w:rsidRDefault="009B1CE4" w:rsidP="009B1CE4">
      <w:pPr>
        <w:spacing w:before="240" w:after="120"/>
        <w:rPr>
          <w:b/>
          <w:i/>
          <w:sz w:val="18"/>
          <w:lang w:val="en-US"/>
        </w:rPr>
      </w:pPr>
      <w:r w:rsidRPr="00514034">
        <w:rPr>
          <w:b/>
          <w:i/>
          <w:sz w:val="18"/>
          <w:lang w:val="en-US"/>
        </w:rPr>
        <w:t>READING LIST</w:t>
      </w:r>
      <w:r w:rsidR="00AA64F7">
        <w:rPr>
          <w:rStyle w:val="Rimandonotaapidipagina"/>
          <w:b/>
          <w:i/>
          <w:sz w:val="18"/>
          <w:lang w:val="en-US"/>
        </w:rPr>
        <w:footnoteReference w:id="1"/>
      </w:r>
    </w:p>
    <w:p w:rsidR="009B1CE4" w:rsidRPr="00A0712A" w:rsidRDefault="009B1CE4" w:rsidP="00A0712A">
      <w:pPr>
        <w:pStyle w:val="Testo2"/>
        <w:ind w:firstLine="0"/>
        <w:rPr>
          <w:i/>
          <w:lang w:val="en-US"/>
        </w:rPr>
      </w:pPr>
      <w:r w:rsidRPr="00A0712A">
        <w:rPr>
          <w:i/>
          <w:lang w:val="en-US"/>
        </w:rPr>
        <w:t>Attending Students</w:t>
      </w:r>
    </w:p>
    <w:p w:rsidR="00A0712A" w:rsidRDefault="00A0712A" w:rsidP="00A0712A">
      <w:pPr>
        <w:pStyle w:val="Testo2"/>
        <w:rPr>
          <w:lang w:val="en-US"/>
        </w:rPr>
      </w:pPr>
      <w:r w:rsidRPr="00341E23">
        <w:rPr>
          <w:lang w:val="en-US"/>
        </w:rPr>
        <w:t>A list of mandatory and optional readings will be available on Blackboard.</w:t>
      </w:r>
    </w:p>
    <w:p w:rsidR="00A0712A" w:rsidRDefault="00A0712A" w:rsidP="00A0712A">
      <w:pPr>
        <w:pStyle w:val="Testo2"/>
        <w:rPr>
          <w:lang w:val="en-US"/>
        </w:rPr>
      </w:pPr>
      <w:r>
        <w:rPr>
          <w:lang w:val="en-US"/>
        </w:rPr>
        <w:t>Selected chapters from the handbook (to be defined).</w:t>
      </w:r>
    </w:p>
    <w:p w:rsidR="00A0712A" w:rsidRPr="000F30E1" w:rsidRDefault="00A0712A" w:rsidP="00A0712A">
      <w:pPr>
        <w:pStyle w:val="Testo1"/>
        <w:rPr>
          <w:i/>
          <w:lang w:val="en-US"/>
        </w:rPr>
      </w:pPr>
      <w:r w:rsidRPr="000F30E1">
        <w:rPr>
          <w:i/>
          <w:lang w:val="en-US"/>
        </w:rPr>
        <w:t>Non attending students</w:t>
      </w:r>
    </w:p>
    <w:p w:rsidR="00A0712A" w:rsidRPr="00341E23" w:rsidRDefault="00A0712A" w:rsidP="00A0712A">
      <w:pPr>
        <w:pStyle w:val="Testo2"/>
        <w:rPr>
          <w:lang w:val="en-US"/>
        </w:rPr>
      </w:pPr>
      <w:r>
        <w:rPr>
          <w:lang w:val="en-US"/>
        </w:rPr>
        <w:t>Handbook (to be defined), all chapters.</w:t>
      </w:r>
    </w:p>
    <w:p w:rsidR="009B1CE4" w:rsidRPr="00514034" w:rsidRDefault="009B1CE4" w:rsidP="009B1CE4">
      <w:pPr>
        <w:spacing w:before="240" w:after="120" w:line="220" w:lineRule="exact"/>
        <w:rPr>
          <w:b/>
          <w:i/>
          <w:sz w:val="18"/>
          <w:lang w:val="en-US"/>
        </w:rPr>
      </w:pPr>
      <w:r w:rsidRPr="00514034">
        <w:rPr>
          <w:b/>
          <w:i/>
          <w:sz w:val="18"/>
          <w:lang w:val="en-US"/>
        </w:rPr>
        <w:t>TEACHING METHOD</w:t>
      </w:r>
    </w:p>
    <w:p w:rsidR="009B1CE4" w:rsidRPr="00E16036" w:rsidRDefault="009B1CE4" w:rsidP="009B1CE4">
      <w:pPr>
        <w:pStyle w:val="Testo2"/>
        <w:rPr>
          <w:lang w:val="en-US"/>
        </w:rPr>
      </w:pPr>
      <w:r w:rsidRPr="00E16036">
        <w:rPr>
          <w:lang w:val="en-US"/>
        </w:rPr>
        <w:t xml:space="preserve">The teaching method will be highly interactive. Several case-studies and simulations will be used to boost class participation and discussion among students. </w:t>
      </w:r>
    </w:p>
    <w:p w:rsidR="009B1CE4" w:rsidRPr="00906645" w:rsidRDefault="009B1CE4" w:rsidP="009B1CE4">
      <w:pPr>
        <w:spacing w:before="240" w:after="120" w:line="220" w:lineRule="exact"/>
        <w:rPr>
          <w:b/>
          <w:i/>
          <w:sz w:val="18"/>
          <w:lang w:val="en-US"/>
        </w:rPr>
      </w:pPr>
      <w:r w:rsidRPr="00906645">
        <w:rPr>
          <w:b/>
          <w:i/>
          <w:sz w:val="18"/>
          <w:lang w:val="en-US"/>
        </w:rPr>
        <w:t>ASSESSMENT METHOD AND CRITERIA</w:t>
      </w:r>
    </w:p>
    <w:p w:rsidR="009B1CE4" w:rsidRPr="00A0712A" w:rsidRDefault="009B1CE4" w:rsidP="009B1CE4">
      <w:pPr>
        <w:pStyle w:val="Testo2"/>
        <w:rPr>
          <w:lang w:val="en-GB"/>
        </w:rPr>
      </w:pPr>
      <w:r w:rsidRPr="00A0712A">
        <w:rPr>
          <w:lang w:val="en-GB"/>
        </w:rPr>
        <w:t>Attending students will be assessed through a weighted average, as follows:</w:t>
      </w:r>
    </w:p>
    <w:p w:rsidR="00A0712A" w:rsidRDefault="009B1CE4" w:rsidP="00A0712A">
      <w:pPr>
        <w:pStyle w:val="Testo2"/>
        <w:numPr>
          <w:ilvl w:val="0"/>
          <w:numId w:val="3"/>
        </w:numPr>
        <w:tabs>
          <w:tab w:val="clear" w:pos="284"/>
        </w:tabs>
        <w:ind w:left="567" w:hanging="283"/>
        <w:rPr>
          <w:lang w:val="en-US"/>
        </w:rPr>
      </w:pPr>
      <w:r w:rsidRPr="00A0712A">
        <w:rPr>
          <w:lang w:val="en-GB"/>
        </w:rPr>
        <w:t>30% group assignments and presentations; during the course two group assignments will be carried out. They will consist of case-studies or companies’ supply chains assessments and will require the preparation of a report, in which students will provide a detailed description of the way they addressed and solved the problem.</w:t>
      </w:r>
      <w:r w:rsidR="00A0712A">
        <w:rPr>
          <w:lang w:val="en-GB"/>
        </w:rPr>
        <w:t xml:space="preserve"> </w:t>
      </w:r>
      <w:r w:rsidR="00A0712A" w:rsidRPr="00940C84">
        <w:rPr>
          <w:lang w:val="en-US"/>
        </w:rPr>
        <w:t xml:space="preserve">These assignments will aim at developing and assessing students’ ability to: 1) communicate their knowledge and ideas in an effective way; 2) solve managerials problems collecting relevant data, analyzing it through the concepts and theories addressed during this course; 3) keep on learning the topics of </w:t>
      </w:r>
      <w:r w:rsidR="00A0712A">
        <w:rPr>
          <w:lang w:val="en-US"/>
        </w:rPr>
        <w:t>supply chain</w:t>
      </w:r>
      <w:r w:rsidR="00A0712A" w:rsidRPr="00940C84">
        <w:rPr>
          <w:lang w:val="en-US"/>
        </w:rPr>
        <w:t xml:space="preserve"> management, widening their knowledge in contexts of the two assignments.</w:t>
      </w:r>
    </w:p>
    <w:p w:rsidR="00A0712A" w:rsidRDefault="009B1CE4" w:rsidP="00A0712A">
      <w:pPr>
        <w:pStyle w:val="Testo2"/>
        <w:numPr>
          <w:ilvl w:val="0"/>
          <w:numId w:val="3"/>
        </w:numPr>
        <w:tabs>
          <w:tab w:val="clear" w:pos="284"/>
        </w:tabs>
        <w:ind w:left="567" w:hanging="283"/>
        <w:rPr>
          <w:lang w:val="en-US"/>
        </w:rPr>
      </w:pPr>
      <w:r w:rsidRPr="00A0712A">
        <w:rPr>
          <w:lang w:val="en-GB"/>
        </w:rPr>
        <w:t xml:space="preserve">70% final written exam, consisting of both multiple-choise and open questions. </w:t>
      </w:r>
      <w:r w:rsidRPr="00C95E72">
        <w:rPr>
          <w:lang w:val="en-GB"/>
        </w:rPr>
        <w:t>Multiple choice questions will be exclusielly on theoretical topics. Open questions</w:t>
      </w:r>
      <w:r w:rsidRPr="00A0712A">
        <w:rPr>
          <w:lang w:val="en-GB"/>
        </w:rPr>
        <w:t xml:space="preserve"> will be on mini-cases and on theoretical topics.</w:t>
      </w:r>
      <w:r w:rsidR="00A0712A">
        <w:rPr>
          <w:lang w:val="en-GB"/>
        </w:rPr>
        <w:t xml:space="preserve"> </w:t>
      </w:r>
      <w:r w:rsidR="00A0712A">
        <w:rPr>
          <w:lang w:val="en-US"/>
        </w:rPr>
        <w:t>Multiple choice questions will aim at assessing students’ familiarity with main concepts and theories concerning supply chain management. Open questions will require the writing up of short essays and the solution of quantitative exercises in order to assess students’ ability to analyze supply chain processes through the frameworks and concepts learnt during the course.</w:t>
      </w:r>
    </w:p>
    <w:p w:rsidR="009B1CE4" w:rsidRPr="00A0712A" w:rsidRDefault="009B1CE4" w:rsidP="00A0712A">
      <w:pPr>
        <w:pStyle w:val="Testo2"/>
        <w:ind w:left="567" w:firstLine="0"/>
        <w:rPr>
          <w:lang w:val="en-GB"/>
        </w:rPr>
      </w:pPr>
    </w:p>
    <w:p w:rsidR="009B1CE4" w:rsidRPr="00A0712A" w:rsidRDefault="009B1CE4" w:rsidP="00B701B3">
      <w:pPr>
        <w:pStyle w:val="Testo2"/>
        <w:spacing w:before="120"/>
        <w:rPr>
          <w:lang w:val="en-GB"/>
        </w:rPr>
      </w:pPr>
      <w:r w:rsidRPr="00A0712A">
        <w:rPr>
          <w:lang w:val="en-GB"/>
        </w:rPr>
        <w:t>Non attending students will be assessed through a written exam consisting of multiple choice and open questions, referred to the entire textbook. All questions will be theoretical. No exercise or mini-case will be present in the exam.</w:t>
      </w:r>
    </w:p>
    <w:p w:rsidR="009B1CE4" w:rsidRPr="00A0712A" w:rsidRDefault="009B1CE4" w:rsidP="00B701B3">
      <w:pPr>
        <w:pStyle w:val="Testo2"/>
        <w:spacing w:before="120"/>
        <w:rPr>
          <w:lang w:val="en-GB"/>
        </w:rPr>
      </w:pPr>
      <w:r w:rsidRPr="00A0712A">
        <w:rPr>
          <w:lang w:val="en-GB"/>
        </w:rPr>
        <w:t>At the end of the course, a mock-exam will be uploaded on Blackboard.</w:t>
      </w:r>
    </w:p>
    <w:p w:rsidR="009B1CE4" w:rsidRPr="00514034" w:rsidRDefault="009B1CE4" w:rsidP="009B1CE4">
      <w:pPr>
        <w:spacing w:before="240" w:after="120"/>
        <w:rPr>
          <w:b/>
          <w:i/>
          <w:sz w:val="18"/>
          <w:lang w:val="en-US"/>
        </w:rPr>
      </w:pPr>
      <w:r w:rsidRPr="00514034">
        <w:rPr>
          <w:b/>
          <w:i/>
          <w:sz w:val="18"/>
          <w:lang w:val="en-US"/>
        </w:rPr>
        <w:lastRenderedPageBreak/>
        <w:t>NOTES AND PREREQUISITES</w:t>
      </w:r>
    </w:p>
    <w:p w:rsidR="009B1CE4" w:rsidRDefault="009B1CE4" w:rsidP="009B1CE4">
      <w:pPr>
        <w:pStyle w:val="Testo2"/>
        <w:rPr>
          <w:lang w:val="en-US"/>
        </w:rPr>
      </w:pPr>
      <w:r w:rsidRPr="00E16036">
        <w:rPr>
          <w:lang w:val="en-US"/>
        </w:rPr>
        <w:t>The course will be taught in English.</w:t>
      </w:r>
    </w:p>
    <w:p w:rsidR="00C95E72" w:rsidRDefault="00C95E72" w:rsidP="009B1CE4">
      <w:pPr>
        <w:pStyle w:val="Testo2"/>
        <w:rPr>
          <w:lang w:val="en-US"/>
        </w:rPr>
      </w:pPr>
    </w:p>
    <w:p w:rsidR="00E34918" w:rsidRPr="00E34918" w:rsidRDefault="00E34918" w:rsidP="00E34918">
      <w:pPr>
        <w:pStyle w:val="Testo2"/>
        <w:rPr>
          <w:lang w:val="en-GB"/>
        </w:rPr>
      </w:pPr>
      <w:r>
        <w:rPr>
          <w:lang w:val="en-GB"/>
        </w:rPr>
        <w:t>In case the current Covid-19 health emergency does not allow frontal teaching, remote teaching will be carried out following procedures that will be promptly notified to students.</w:t>
      </w:r>
    </w:p>
    <w:p w:rsidR="00C95E72" w:rsidRPr="00E34918" w:rsidRDefault="00C95E72" w:rsidP="009B1CE4">
      <w:pPr>
        <w:pStyle w:val="Testo2"/>
        <w:rPr>
          <w:lang w:val="en-GB"/>
        </w:rPr>
      </w:pPr>
    </w:p>
    <w:sectPr w:rsidR="00C95E72" w:rsidRPr="00E3491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F7" w:rsidRDefault="00AA64F7" w:rsidP="00AA64F7">
      <w:pPr>
        <w:spacing w:line="240" w:lineRule="auto"/>
      </w:pPr>
      <w:r>
        <w:separator/>
      </w:r>
    </w:p>
  </w:endnote>
  <w:endnote w:type="continuationSeparator" w:id="0">
    <w:p w:rsidR="00AA64F7" w:rsidRDefault="00AA64F7" w:rsidP="00AA6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F7" w:rsidRDefault="00AA64F7" w:rsidP="00AA64F7">
      <w:pPr>
        <w:spacing w:line="240" w:lineRule="auto"/>
      </w:pPr>
      <w:r>
        <w:separator/>
      </w:r>
    </w:p>
  </w:footnote>
  <w:footnote w:type="continuationSeparator" w:id="0">
    <w:p w:rsidR="00AA64F7" w:rsidRDefault="00AA64F7" w:rsidP="00AA64F7">
      <w:pPr>
        <w:spacing w:line="240" w:lineRule="auto"/>
      </w:pPr>
      <w:r>
        <w:continuationSeparator/>
      </w:r>
    </w:p>
  </w:footnote>
  <w:footnote w:id="1">
    <w:p w:rsidR="00AA64F7" w:rsidRDefault="00AA64F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461"/>
    <w:multiLevelType w:val="hybridMultilevel"/>
    <w:tmpl w:val="7048055A"/>
    <w:lvl w:ilvl="0" w:tplc="1C2AD284">
      <w:numFmt w:val="bullet"/>
      <w:lvlText w:val="–"/>
      <w:lvlJc w:val="left"/>
      <w:pPr>
        <w:ind w:left="1004" w:hanging="360"/>
      </w:pPr>
      <w:rPr>
        <w:rFonts w:ascii="Times New Roman" w:eastAsia="Calibri"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05525934"/>
    <w:multiLevelType w:val="hybridMultilevel"/>
    <w:tmpl w:val="CDFAA8FA"/>
    <w:lvl w:ilvl="0" w:tplc="8CB43A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887715F"/>
    <w:multiLevelType w:val="hybridMultilevel"/>
    <w:tmpl w:val="1C4C0AFE"/>
    <w:lvl w:ilvl="0" w:tplc="1C2AD284">
      <w:numFmt w:val="bullet"/>
      <w:lvlText w:val="–"/>
      <w:lvlJc w:val="left"/>
      <w:pPr>
        <w:ind w:left="1004" w:hanging="360"/>
      </w:pPr>
      <w:rPr>
        <w:rFonts w:ascii="Times New Roman" w:eastAsia="Calibri" w:hAnsi="Times New Roman" w:cs="Times New Roman"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5FC85557"/>
    <w:multiLevelType w:val="hybridMultilevel"/>
    <w:tmpl w:val="4538CE10"/>
    <w:lvl w:ilvl="0" w:tplc="8CB43A80">
      <w:start w:val="1"/>
      <w:numFmt w:val="bullet"/>
      <w:lvlText w:val=""/>
      <w:lvlJc w:val="left"/>
      <w:pPr>
        <w:ind w:left="1050" w:hanging="360"/>
      </w:pPr>
      <w:rPr>
        <w:rFonts w:ascii="Symbol" w:hAnsi="Symbol" w:hint="default"/>
      </w:rPr>
    </w:lvl>
    <w:lvl w:ilvl="1" w:tplc="04100003" w:tentative="1">
      <w:start w:val="1"/>
      <w:numFmt w:val="bullet"/>
      <w:lvlText w:val="o"/>
      <w:lvlJc w:val="left"/>
      <w:pPr>
        <w:ind w:left="1770" w:hanging="360"/>
      </w:pPr>
      <w:rPr>
        <w:rFonts w:ascii="Courier New" w:hAnsi="Courier New" w:cs="Courier New" w:hint="default"/>
      </w:rPr>
    </w:lvl>
    <w:lvl w:ilvl="2" w:tplc="04100005" w:tentative="1">
      <w:start w:val="1"/>
      <w:numFmt w:val="bullet"/>
      <w:lvlText w:val=""/>
      <w:lvlJc w:val="left"/>
      <w:pPr>
        <w:ind w:left="2490" w:hanging="360"/>
      </w:pPr>
      <w:rPr>
        <w:rFonts w:ascii="Wingdings" w:hAnsi="Wingdings" w:hint="default"/>
      </w:rPr>
    </w:lvl>
    <w:lvl w:ilvl="3" w:tplc="04100001" w:tentative="1">
      <w:start w:val="1"/>
      <w:numFmt w:val="bullet"/>
      <w:lvlText w:val=""/>
      <w:lvlJc w:val="left"/>
      <w:pPr>
        <w:ind w:left="3210" w:hanging="360"/>
      </w:pPr>
      <w:rPr>
        <w:rFonts w:ascii="Symbol" w:hAnsi="Symbol" w:hint="default"/>
      </w:rPr>
    </w:lvl>
    <w:lvl w:ilvl="4" w:tplc="04100003" w:tentative="1">
      <w:start w:val="1"/>
      <w:numFmt w:val="bullet"/>
      <w:lvlText w:val="o"/>
      <w:lvlJc w:val="left"/>
      <w:pPr>
        <w:ind w:left="3930" w:hanging="360"/>
      </w:pPr>
      <w:rPr>
        <w:rFonts w:ascii="Courier New" w:hAnsi="Courier New" w:cs="Courier New" w:hint="default"/>
      </w:rPr>
    </w:lvl>
    <w:lvl w:ilvl="5" w:tplc="04100005" w:tentative="1">
      <w:start w:val="1"/>
      <w:numFmt w:val="bullet"/>
      <w:lvlText w:val=""/>
      <w:lvlJc w:val="left"/>
      <w:pPr>
        <w:ind w:left="4650" w:hanging="360"/>
      </w:pPr>
      <w:rPr>
        <w:rFonts w:ascii="Wingdings" w:hAnsi="Wingdings" w:hint="default"/>
      </w:rPr>
    </w:lvl>
    <w:lvl w:ilvl="6" w:tplc="04100001" w:tentative="1">
      <w:start w:val="1"/>
      <w:numFmt w:val="bullet"/>
      <w:lvlText w:val=""/>
      <w:lvlJc w:val="left"/>
      <w:pPr>
        <w:ind w:left="5370" w:hanging="360"/>
      </w:pPr>
      <w:rPr>
        <w:rFonts w:ascii="Symbol" w:hAnsi="Symbol" w:hint="default"/>
      </w:rPr>
    </w:lvl>
    <w:lvl w:ilvl="7" w:tplc="04100003" w:tentative="1">
      <w:start w:val="1"/>
      <w:numFmt w:val="bullet"/>
      <w:lvlText w:val="o"/>
      <w:lvlJc w:val="left"/>
      <w:pPr>
        <w:ind w:left="6090" w:hanging="360"/>
      </w:pPr>
      <w:rPr>
        <w:rFonts w:ascii="Courier New" w:hAnsi="Courier New" w:cs="Courier New" w:hint="default"/>
      </w:rPr>
    </w:lvl>
    <w:lvl w:ilvl="8" w:tplc="04100005" w:tentative="1">
      <w:start w:val="1"/>
      <w:numFmt w:val="bullet"/>
      <w:lvlText w:val=""/>
      <w:lvlJc w:val="left"/>
      <w:pPr>
        <w:ind w:left="6810" w:hanging="360"/>
      </w:pPr>
      <w:rPr>
        <w:rFonts w:ascii="Wingdings" w:hAnsi="Wingdings" w:hint="default"/>
      </w:rPr>
    </w:lvl>
  </w:abstractNum>
  <w:abstractNum w:abstractNumId="4">
    <w:nsid w:val="748608FD"/>
    <w:multiLevelType w:val="hybridMultilevel"/>
    <w:tmpl w:val="E7BCB3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288"/>
    <w:rsid w:val="00187B99"/>
    <w:rsid w:val="002014DD"/>
    <w:rsid w:val="002D5E17"/>
    <w:rsid w:val="004D1217"/>
    <w:rsid w:val="004D6008"/>
    <w:rsid w:val="005E63BC"/>
    <w:rsid w:val="00640794"/>
    <w:rsid w:val="006F1772"/>
    <w:rsid w:val="008942E7"/>
    <w:rsid w:val="008A1204"/>
    <w:rsid w:val="00900CCA"/>
    <w:rsid w:val="00924B77"/>
    <w:rsid w:val="00940DA2"/>
    <w:rsid w:val="009B1CE4"/>
    <w:rsid w:val="009E055C"/>
    <w:rsid w:val="00A0712A"/>
    <w:rsid w:val="00A74F6F"/>
    <w:rsid w:val="00AA64F7"/>
    <w:rsid w:val="00AD7557"/>
    <w:rsid w:val="00B50C5D"/>
    <w:rsid w:val="00B51253"/>
    <w:rsid w:val="00B525CC"/>
    <w:rsid w:val="00B701B3"/>
    <w:rsid w:val="00B73288"/>
    <w:rsid w:val="00B82423"/>
    <w:rsid w:val="00C95E72"/>
    <w:rsid w:val="00D404F2"/>
    <w:rsid w:val="00E34918"/>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B1CE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B1CE4"/>
    <w:pPr>
      <w:ind w:left="720"/>
      <w:contextualSpacing/>
    </w:pPr>
    <w:rPr>
      <w:rFonts w:ascii="Times" w:hAnsi="Times"/>
      <w:szCs w:val="20"/>
    </w:rPr>
  </w:style>
  <w:style w:type="paragraph" w:styleId="Testonotaapidipagina">
    <w:name w:val="footnote text"/>
    <w:basedOn w:val="Normale"/>
    <w:link w:val="TestonotaapidipaginaCarattere"/>
    <w:rsid w:val="00AA64F7"/>
    <w:pPr>
      <w:spacing w:line="240" w:lineRule="auto"/>
    </w:pPr>
    <w:rPr>
      <w:szCs w:val="20"/>
    </w:rPr>
  </w:style>
  <w:style w:type="character" w:customStyle="1" w:styleId="TestonotaapidipaginaCarattere">
    <w:name w:val="Testo nota a piè di pagina Carattere"/>
    <w:basedOn w:val="Carpredefinitoparagrafo"/>
    <w:link w:val="Testonotaapidipagina"/>
    <w:rsid w:val="00AA64F7"/>
  </w:style>
  <w:style w:type="character" w:styleId="Rimandonotaapidipagina">
    <w:name w:val="footnote reference"/>
    <w:basedOn w:val="Carpredefinitoparagrafo"/>
    <w:rsid w:val="00AA64F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B1CE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B1CE4"/>
    <w:pPr>
      <w:ind w:left="720"/>
      <w:contextualSpacing/>
    </w:pPr>
    <w:rPr>
      <w:rFonts w:ascii="Times" w:hAnsi="Times"/>
      <w:szCs w:val="20"/>
    </w:rPr>
  </w:style>
  <w:style w:type="paragraph" w:styleId="Testonotaapidipagina">
    <w:name w:val="footnote text"/>
    <w:basedOn w:val="Normale"/>
    <w:link w:val="TestonotaapidipaginaCarattere"/>
    <w:rsid w:val="00AA64F7"/>
    <w:pPr>
      <w:spacing w:line="240" w:lineRule="auto"/>
    </w:pPr>
    <w:rPr>
      <w:szCs w:val="20"/>
    </w:rPr>
  </w:style>
  <w:style w:type="character" w:customStyle="1" w:styleId="TestonotaapidipaginaCarattere">
    <w:name w:val="Testo nota a piè di pagina Carattere"/>
    <w:basedOn w:val="Carpredefinitoparagrafo"/>
    <w:link w:val="Testonotaapidipagina"/>
    <w:rsid w:val="00AA64F7"/>
  </w:style>
  <w:style w:type="character" w:styleId="Rimandonotaapidipagina">
    <w:name w:val="footnote reference"/>
    <w:basedOn w:val="Carpredefinitoparagrafo"/>
    <w:rsid w:val="00AA64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DD72D-16EC-4B0F-903B-9321C5FE4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678</Words>
  <Characters>3872</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2020-05-22T10:15:00Z</dcterms:created>
  <dcterms:modified xsi:type="dcterms:W3CDTF">2020-07-13T14:00:00Z</dcterms:modified>
</cp:coreProperties>
</file>