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58" w:rsidRPr="00E25D60" w:rsidRDefault="001E1258" w:rsidP="001E1258">
      <w:pPr>
        <w:pStyle w:val="Titolo1"/>
      </w:pPr>
      <w:r w:rsidRPr="00E25D60">
        <w:t>Strategia e politica aziendale (corporate strategy)</w:t>
      </w:r>
    </w:p>
    <w:p w:rsidR="001E1258" w:rsidRPr="00E25D60" w:rsidRDefault="001E1258" w:rsidP="001E1258">
      <w:pPr>
        <w:pStyle w:val="Titolo2"/>
      </w:pPr>
      <w:r w:rsidRPr="00E25D60">
        <w:t>Prof. Mario Molteni</w:t>
      </w:r>
    </w:p>
    <w:p w:rsidR="002D5E17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E1258" w:rsidRDefault="001E1258" w:rsidP="001E1258">
      <w:pPr>
        <w:rPr>
          <w:rFonts w:eastAsia="MS Mincho"/>
        </w:rPr>
      </w:pPr>
      <w:r w:rsidRPr="00E25D60">
        <w:rPr>
          <w:rFonts w:eastAsia="MS Mincho"/>
        </w:rPr>
        <w:t xml:space="preserve">Il corso intende condurre i partecipanti nell’analisi dei problemi strategici e delle logiche di gestione delle imprese multi-business. Esso vuole favorire la comprensione delle caratteristiche di una </w:t>
      </w:r>
      <w:r w:rsidRPr="00E25D60">
        <w:rPr>
          <w:rFonts w:eastAsia="MS Mincho"/>
          <w:i/>
        </w:rPr>
        <w:t>corporate-level strategy</w:t>
      </w:r>
      <w:r w:rsidRPr="00E25D60">
        <w:rPr>
          <w:rFonts w:eastAsia="MS Mincho"/>
        </w:rPr>
        <w:t xml:space="preserve"> in grado di generare valore tanto per gli azionisti quanto per gli altri stakeholder. </w:t>
      </w:r>
    </w:p>
    <w:p w:rsidR="001E1258" w:rsidRDefault="001E1258" w:rsidP="001E1258">
      <w:pPr>
        <w:rPr>
          <w:rFonts w:eastAsia="MS Mincho"/>
        </w:rPr>
      </w:pPr>
      <w:r w:rsidRPr="008779DA">
        <w:rPr>
          <w:rFonts w:eastAsia="MS Mincho"/>
        </w:rPr>
        <w:t>Al termine dell’insegnamento, lo studente sarà</w:t>
      </w:r>
      <w:r>
        <w:rPr>
          <w:rFonts w:eastAsia="MS Mincho"/>
        </w:rPr>
        <w:t xml:space="preserve"> in grado di applicare le conoscenze acquisite all’analisi della strategia a livello corporate di un’impresa in tutte le sue dimensioni: portafoglio business, assetto organizzativo, politiche di sostenibilità, performance economiche e socio-ambientali.</w:t>
      </w:r>
    </w:p>
    <w:p w:rsidR="001E1258" w:rsidRDefault="001E1258" w:rsidP="001E1258">
      <w:pPr>
        <w:rPr>
          <w:rFonts w:eastAsia="MS Mincho"/>
        </w:rPr>
      </w:pPr>
      <w:r>
        <w:rPr>
          <w:rFonts w:eastAsia="MS Mincho"/>
        </w:rPr>
        <w:t>Inoltre</w:t>
      </w:r>
      <w:r w:rsidR="00050FEC">
        <w:rPr>
          <w:rFonts w:eastAsia="MS Mincho"/>
        </w:rPr>
        <w:t xml:space="preserve">, </w:t>
      </w:r>
      <w:r>
        <w:rPr>
          <w:rFonts w:eastAsia="MS Mincho"/>
        </w:rPr>
        <w:t xml:space="preserve">il </w:t>
      </w:r>
      <w:r w:rsidRPr="008779DA">
        <w:rPr>
          <w:rFonts w:eastAsia="MS Mincho"/>
        </w:rPr>
        <w:t>corso stimola la capacità di ideare nuove strategie</w:t>
      </w:r>
      <w:r>
        <w:rPr>
          <w:rFonts w:eastAsia="MS Mincho"/>
        </w:rPr>
        <w:t xml:space="preserve"> di crescita, con particolare attenzione ad acquisizioni, joint-venture, fusioni, crescita mediante sviluppo interno. Per tali operazioni straordinarie lo studente svilupperà la capacità di valutare criticamente benefici e controindicazioni di varie alternative</w:t>
      </w:r>
      <w:r w:rsidRPr="008779DA">
        <w:rPr>
          <w:rFonts w:eastAsia="MS Mincho"/>
        </w:rPr>
        <w:t>.</w:t>
      </w:r>
    </w:p>
    <w:p w:rsidR="001E1258" w:rsidRPr="00E25D60" w:rsidRDefault="001E1258" w:rsidP="001E1258">
      <w:pPr>
        <w:rPr>
          <w:rFonts w:eastAsia="MS Mincho"/>
        </w:rPr>
      </w:pPr>
      <w:r>
        <w:rPr>
          <w:rFonts w:eastAsia="MS Mincho"/>
        </w:rPr>
        <w:t>Sia per quanto riguarda le capacità analitiche, sia per ciò che concerne le capacità di creazione e formulazione di nuove strategie, si favorisce lo sviluppo di a</w:t>
      </w:r>
      <w:r w:rsidRPr="00975972">
        <w:rPr>
          <w:rFonts w:eastAsia="MS Mincho"/>
        </w:rPr>
        <w:t xml:space="preserve">bilità comunicative </w:t>
      </w:r>
      <w:r>
        <w:rPr>
          <w:rFonts w:eastAsia="MS Mincho"/>
        </w:rPr>
        <w:t>attribuendo agli studenti il compito di presentare i loro elaborati tanto ai docenti quanto a esponenti di vertice delle imprese che saranno esaminate.</w:t>
      </w:r>
    </w:p>
    <w:p w:rsidR="001E1258" w:rsidRDefault="001E1258" w:rsidP="001E12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  <w:r w:rsidR="00153DB8">
        <w:rPr>
          <w:b/>
          <w:i/>
          <w:sz w:val="18"/>
        </w:rPr>
        <w:t xml:space="preserve"> </w:t>
      </w:r>
    </w:p>
    <w:p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Introduzione alla Corporate Strategy (CS)</w:t>
      </w:r>
      <w:r w:rsidRPr="00276325">
        <w:rPr>
          <w:rFonts w:ascii="Times" w:hAnsi="Times"/>
          <w:noProof/>
          <w:szCs w:val="20"/>
        </w:rPr>
        <w:t xml:space="preserve">: crezione di valore nell’impresa multibusiness; evoluzione della CS nel tempo; </w:t>
      </w:r>
      <w:r w:rsidR="005E4088">
        <w:rPr>
          <w:rFonts w:ascii="Times" w:hAnsi="Times"/>
          <w:noProof/>
          <w:szCs w:val="20"/>
        </w:rPr>
        <w:t xml:space="preserve">modello di riferimento per l’analisi della </w:t>
      </w:r>
      <w:r w:rsidRPr="00276325">
        <w:rPr>
          <w:rFonts w:ascii="Times" w:hAnsi="Times"/>
          <w:noProof/>
          <w:szCs w:val="20"/>
        </w:rPr>
        <w:t>CS; modelli di CS; influsso delle corporate governance sulla CS.</w:t>
      </w:r>
    </w:p>
    <w:p w:rsidR="005E4088" w:rsidRPr="005E408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bookmarkStart w:id="0" w:name="_Hlk36311583"/>
      <w:r w:rsidRPr="005E4088">
        <w:rPr>
          <w:rFonts w:ascii="Times" w:hAnsi="Times"/>
          <w:i/>
          <w:iCs/>
          <w:noProof/>
          <w:szCs w:val="20"/>
        </w:rPr>
        <w:t>Risorse aziendali</w:t>
      </w:r>
      <w:r>
        <w:rPr>
          <w:rFonts w:ascii="Times" w:hAnsi="Times"/>
          <w:noProof/>
          <w:szCs w:val="20"/>
        </w:rPr>
        <w:t>: ruolo delle risorse nella creazione di valore; classificazione dellle risorse per natura, funzione e livello; le risorse di valore; un approccio alla formulazione della strategia delle risorse.</w:t>
      </w:r>
    </w:p>
    <w:bookmarkEnd w:id="0"/>
    <w:p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Analisi ed evoluzione del portafoglio business</w:t>
      </w:r>
      <w:r w:rsidRPr="00276325">
        <w:rPr>
          <w:rFonts w:ascii="Times" w:hAnsi="Times"/>
          <w:noProof/>
          <w:szCs w:val="20"/>
        </w:rPr>
        <w:t>: core business e scelte di diversificazione; matrici di portafoglio; direzioni di diversificazione e modalità di espansione (crescita esterna vs. sviluppo interno); crescita internazionale; operazioni di corporate venture capital; grado di diversificazione e risultati aziendali.</w:t>
      </w:r>
    </w:p>
    <w:p w:rsidR="001E1258" w:rsidRDefault="005E408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 xml:space="preserve">Assetto organizzativo </w:t>
      </w:r>
      <w:r w:rsidR="001E1258" w:rsidRPr="00276325">
        <w:rPr>
          <w:rFonts w:ascii="Times" w:hAnsi="Times"/>
          <w:i/>
          <w:noProof/>
          <w:szCs w:val="20"/>
        </w:rPr>
        <w:t>gestione dell’impresa multi business</w:t>
      </w:r>
      <w:r w:rsidR="001E1258" w:rsidRPr="00276325">
        <w:rPr>
          <w:rFonts w:ascii="Times" w:hAnsi="Times"/>
          <w:noProof/>
          <w:szCs w:val="20"/>
        </w:rPr>
        <w:t>: strutture per le imprese multibusiness; ruoli e dimensioni delle Unità centrali; meccanismi per il controllo e la coesione aziendale; trasferimento di risorse e competenze; condizioni per l’imprenditorialità interna.</w:t>
      </w:r>
    </w:p>
    <w:p w:rsidR="001E1258" w:rsidRDefault="001E1258" w:rsidP="001E125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Profilo economico della CS</w:t>
      </w:r>
      <w:r w:rsidRPr="00276325">
        <w:rPr>
          <w:rFonts w:ascii="Times" w:hAnsi="Times"/>
          <w:noProof/>
          <w:szCs w:val="20"/>
        </w:rPr>
        <w:t xml:space="preserve">: la valutazione dell’assetto economico; compatibilità tra profilo economico-finanziario aziendale e strategie di crescita </w:t>
      </w:r>
      <w:r w:rsidRPr="00276325">
        <w:rPr>
          <w:rFonts w:ascii="Times" w:hAnsi="Times"/>
          <w:noProof/>
          <w:szCs w:val="20"/>
        </w:rPr>
        <w:lastRenderedPageBreak/>
        <w:t>a livello corporate; presentazione sintetica dei metodi di valutazione adottati in occasione delle acquisizioni.</w:t>
      </w:r>
    </w:p>
    <w:p w:rsidR="005E4088" w:rsidRPr="005E4088" w:rsidRDefault="005E4088" w:rsidP="005E4088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276325">
        <w:rPr>
          <w:rFonts w:ascii="Times" w:hAnsi="Times"/>
          <w:i/>
          <w:noProof/>
          <w:szCs w:val="20"/>
        </w:rPr>
        <w:t>Dinamica della CS</w:t>
      </w:r>
      <w:r w:rsidRPr="00276325">
        <w:rPr>
          <w:rFonts w:ascii="Times" w:hAnsi="Times"/>
          <w:noProof/>
          <w:szCs w:val="20"/>
        </w:rPr>
        <w:t xml:space="preserve">: </w:t>
      </w:r>
      <w:r>
        <w:rPr>
          <w:rFonts w:ascii="Times" w:hAnsi="Times"/>
          <w:noProof/>
          <w:szCs w:val="20"/>
        </w:rPr>
        <w:t xml:space="preserve">le continue necessità di rinnovare la CS; i mega-trend che caratterizzano il contesto attuale (digitalizzazione, intelligenza artificiale, nuova concorrenza internazionale, opportunità provenienti dai Paesi del Sud del mondo); </w:t>
      </w:r>
      <w:r w:rsidRPr="00276325">
        <w:rPr>
          <w:rFonts w:ascii="Times" w:hAnsi="Times"/>
          <w:noProof/>
          <w:szCs w:val="20"/>
        </w:rPr>
        <w:t>forme del rinnovamento; rimedi e leve per la gestione del cambiamento</w:t>
      </w:r>
      <w:r>
        <w:rPr>
          <w:rFonts w:ascii="Times" w:hAnsi="Times"/>
          <w:noProof/>
          <w:szCs w:val="20"/>
        </w:rPr>
        <w:t>.</w:t>
      </w:r>
    </w:p>
    <w:p w:rsidR="005E4088" w:rsidRDefault="001E1258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 w:rsidRPr="001646E1">
        <w:rPr>
          <w:rFonts w:ascii="Times" w:hAnsi="Times"/>
          <w:i/>
          <w:noProof/>
          <w:szCs w:val="20"/>
        </w:rPr>
        <w:t>CS e politiche di sostenibilità</w:t>
      </w:r>
      <w:r w:rsidRPr="00276325">
        <w:rPr>
          <w:rFonts w:ascii="Times" w:hAnsi="Times"/>
          <w:noProof/>
          <w:szCs w:val="20"/>
        </w:rPr>
        <w:t>: l’imperativo di inserire la lo</w:t>
      </w:r>
      <w:r>
        <w:rPr>
          <w:rFonts w:ascii="Times" w:hAnsi="Times"/>
          <w:noProof/>
          <w:szCs w:val="20"/>
        </w:rPr>
        <w:t xml:space="preserve">gica della sostenibilità nella </w:t>
      </w:r>
      <w:r w:rsidRPr="00276325">
        <w:rPr>
          <w:rFonts w:ascii="Times" w:hAnsi="Times"/>
          <w:noProof/>
          <w:szCs w:val="20"/>
        </w:rPr>
        <w:t>formulazione CS; gli stadi di sviluppo della sostenibilità nella CS; sostenibilità come opportunità per rinnovare i business esietnti o per lanciare nuovi business; logica del valore condiviso e sintesi socio-economiche; la crescente importanza della rendicontazione non finanziaria.</w:t>
      </w:r>
    </w:p>
    <w:p w:rsidR="00EB0329" w:rsidRPr="00EB0329" w:rsidRDefault="00EB0329" w:rsidP="00EB0329">
      <w:pPr>
        <w:pStyle w:val="Paragrafoelenco"/>
        <w:numPr>
          <w:ilvl w:val="0"/>
          <w:numId w:val="1"/>
        </w:numPr>
        <w:tabs>
          <w:tab w:val="clear" w:pos="284"/>
        </w:tabs>
        <w:rPr>
          <w:rFonts w:ascii="Times" w:hAnsi="Times"/>
          <w:noProof/>
          <w:szCs w:val="20"/>
        </w:rPr>
      </w:pPr>
      <w:r>
        <w:rPr>
          <w:rFonts w:ascii="Times" w:hAnsi="Times"/>
          <w:i/>
          <w:noProof/>
          <w:szCs w:val="20"/>
        </w:rPr>
        <w:t>Formulare e realizzare una operazione straordinaria</w:t>
      </w:r>
      <w:r>
        <w:rPr>
          <w:rFonts w:ascii="Times" w:hAnsi="Times"/>
          <w:noProof/>
          <w:szCs w:val="20"/>
        </w:rPr>
        <w:t>: classificazione delle operazioni strarodinarie; la determinazione del prezzo di eventuali acuisizioni o cessioni; il valore degli invetimenti connessi; operazione straordinaria e creazione di valore economico e sociale; i problemi di implementazione.</w:t>
      </w:r>
    </w:p>
    <w:p w:rsidR="001E1258" w:rsidRP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E62C7">
        <w:rPr>
          <w:rStyle w:val="Rimandonotaapidipagina"/>
          <w:b/>
          <w:i/>
          <w:sz w:val="18"/>
        </w:rPr>
        <w:footnoteReference w:id="1"/>
      </w:r>
    </w:p>
    <w:p w:rsidR="001E1258" w:rsidRPr="00E25D60" w:rsidRDefault="001E1258" w:rsidP="001E1258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bookmarkStart w:id="2" w:name="_Hlk36311149"/>
      <w:r w:rsidRPr="00E25D60">
        <w:rPr>
          <w:rFonts w:ascii="Times" w:hAnsi="Times"/>
          <w:noProof/>
          <w:sz w:val="18"/>
          <w:szCs w:val="20"/>
        </w:rPr>
        <w:t xml:space="preserve">Per i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:rsidR="001E1258" w:rsidRPr="005E4088" w:rsidRDefault="005E4088" w:rsidP="005E408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bookmarkStart w:id="3" w:name="_Hlk36312234"/>
      <w:r>
        <w:rPr>
          <w:rFonts w:ascii="Times" w:hAnsi="Times"/>
          <w:smallCaps/>
          <w:noProof/>
          <w:spacing w:val="-5"/>
          <w:sz w:val="16"/>
          <w:szCs w:val="20"/>
        </w:rPr>
        <w:t xml:space="preserve">Letture a cura di M. Molteni e M. Pedrini, </w:t>
      </w:r>
      <w:r w:rsidRPr="005E4088">
        <w:rPr>
          <w:rFonts w:ascii="Times" w:hAnsi="Times"/>
          <w:noProof/>
          <w:spacing w:val="-5"/>
          <w:sz w:val="18"/>
          <w:szCs w:val="20"/>
        </w:rPr>
        <w:t>presenti in Blackboard</w:t>
      </w:r>
      <w:r>
        <w:rPr>
          <w:rFonts w:ascii="Times" w:hAnsi="Times"/>
          <w:iCs/>
          <w:noProof/>
          <w:sz w:val="18"/>
          <w:szCs w:val="20"/>
        </w:rPr>
        <w:t>.</w:t>
      </w:r>
    </w:p>
    <w:bookmarkEnd w:id="2"/>
    <w:bookmarkEnd w:id="3"/>
    <w:p w:rsidR="00EB0329" w:rsidRDefault="00EB0329" w:rsidP="00EB0329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</w:p>
    <w:p w:rsidR="00EB0329" w:rsidRPr="00E25D60" w:rsidRDefault="00EB0329" w:rsidP="00EB0329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E25D60">
        <w:rPr>
          <w:rFonts w:ascii="Times" w:hAnsi="Times"/>
          <w:noProof/>
          <w:sz w:val="18"/>
          <w:szCs w:val="20"/>
        </w:rPr>
        <w:t>Per i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EB0329">
        <w:rPr>
          <w:rFonts w:ascii="Times" w:hAnsi="Times"/>
          <w:i/>
          <w:iCs/>
          <w:noProof/>
          <w:sz w:val="18"/>
          <w:szCs w:val="20"/>
        </w:rPr>
        <w:t>non</w:t>
      </w:r>
      <w:r w:rsidRPr="00E25D60">
        <w:rPr>
          <w:rFonts w:ascii="Times" w:hAnsi="Times"/>
          <w:noProof/>
          <w:sz w:val="18"/>
          <w:szCs w:val="20"/>
        </w:rPr>
        <w:t xml:space="preserve"> </w:t>
      </w:r>
      <w:r w:rsidRPr="00E25D60">
        <w:rPr>
          <w:rFonts w:ascii="Times" w:hAnsi="Times"/>
          <w:i/>
          <w:noProof/>
          <w:sz w:val="18"/>
          <w:szCs w:val="20"/>
        </w:rPr>
        <w:t>frequentanti</w:t>
      </w:r>
    </w:p>
    <w:p w:rsidR="00EB0329" w:rsidRPr="005E4088" w:rsidRDefault="00EB0329" w:rsidP="00EB032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Letture a cura di M. Molteni e M. Pedrini, </w:t>
      </w:r>
      <w:r w:rsidRPr="005E4088">
        <w:rPr>
          <w:rFonts w:ascii="Times" w:hAnsi="Times"/>
          <w:noProof/>
          <w:spacing w:val="-5"/>
          <w:sz w:val="18"/>
          <w:szCs w:val="20"/>
        </w:rPr>
        <w:t>presenti in Blackboard</w:t>
      </w:r>
      <w:r>
        <w:rPr>
          <w:rFonts w:ascii="Times" w:hAnsi="Times"/>
          <w:iCs/>
          <w:noProof/>
          <w:sz w:val="18"/>
          <w:szCs w:val="20"/>
        </w:rPr>
        <w:t>.</w:t>
      </w:r>
    </w:p>
    <w:p w:rsidR="001E1258" w:rsidRPr="00E25D60" w:rsidRDefault="001E1258" w:rsidP="001E1258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E25D60">
        <w:rPr>
          <w:rFonts w:ascii="Times" w:hAnsi="Times"/>
          <w:smallCaps/>
          <w:noProof/>
          <w:spacing w:val="-5"/>
          <w:sz w:val="16"/>
          <w:szCs w:val="20"/>
        </w:rPr>
        <w:t>M. Pedrini,</w:t>
      </w:r>
      <w:r w:rsidRPr="00E25D60">
        <w:rPr>
          <w:rFonts w:ascii="Times" w:hAnsi="Times"/>
          <w:i/>
          <w:noProof/>
          <w:spacing w:val="-5"/>
          <w:sz w:val="18"/>
          <w:szCs w:val="20"/>
        </w:rPr>
        <w:t xml:space="preserve"> Management delle politiche di sostenibilità: soluzioni gestionali e organizzative per integrare la CSR nelle strategie aziendali,</w:t>
      </w:r>
      <w:r w:rsidRPr="00E25D60">
        <w:rPr>
          <w:rFonts w:ascii="Times" w:hAnsi="Times"/>
          <w:noProof/>
          <w:spacing w:val="-5"/>
          <w:sz w:val="18"/>
          <w:szCs w:val="20"/>
        </w:rPr>
        <w:t xml:space="preserve"> Vita e Pensiero, Milano, 2013 (tutto il volume).</w:t>
      </w:r>
      <w:r w:rsidR="000E62C7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0E62C7" w:rsidRPr="000E62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E1258" w:rsidRPr="00E25D60" w:rsidRDefault="001E1258" w:rsidP="001E1258">
      <w:pPr>
        <w:pStyle w:val="Testo2"/>
      </w:pPr>
      <w:r w:rsidRPr="00E25D60">
        <w:t>Il corso prevede lezioni frontali, discussione di casi aziendali, testimonianze di manager di imprese multi-business.</w:t>
      </w:r>
    </w:p>
    <w:p w:rsidR="001E1258" w:rsidRPr="00E25D60" w:rsidRDefault="001E1258" w:rsidP="001E1258">
      <w:pPr>
        <w:pStyle w:val="Testo2"/>
      </w:pPr>
      <w:r w:rsidRPr="00E25D60">
        <w:t xml:space="preserve">Inoltre gli studenti, divisi in gruppi, dovranno esaminare la CS di un’impresa identificata dai docenti e proporre un’operazione volta a modificare il portafoglio business (acquisizione, joint venture, </w:t>
      </w:r>
      <w:r>
        <w:t xml:space="preserve">fusione, sviluppo interno, </w:t>
      </w:r>
      <w:r w:rsidRPr="00E25D60">
        <w:t xml:space="preserve">cessione) in grado di generare valore per l’impresa e gli stakeholder. Nelle lezioni conclusive le proposte degli studenti </w:t>
      </w:r>
      <w:r>
        <w:t xml:space="preserve">saranno </w:t>
      </w:r>
      <w:r w:rsidRPr="00E25D60">
        <w:t>presentate</w:t>
      </w:r>
      <w:r>
        <w:t xml:space="preserve"> prima ai docenti e, in seguito,</w:t>
      </w:r>
      <w:r w:rsidRPr="00E25D60">
        <w:t xml:space="preserve"> a esponenti del top management delle imprese indagate</w:t>
      </w:r>
      <w:r>
        <w:t>. Questi ultimi avranno modo di discutere con gli studenti</w:t>
      </w:r>
      <w:r w:rsidRPr="00E25D60">
        <w:t xml:space="preserve"> </w:t>
      </w:r>
      <w:r>
        <w:t xml:space="preserve">ciascuna operazione prospettata, facendone emergere i predi e i limitu e, al termine, segnaleranno pubblicamente le migliori, spiegandone le ragioni. </w:t>
      </w:r>
    </w:p>
    <w:p w:rsidR="001E1258" w:rsidRDefault="001E1258" w:rsidP="001E12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1E1258" w:rsidRDefault="001E1258" w:rsidP="001E1258">
      <w:pPr>
        <w:pStyle w:val="Testo2"/>
        <w:ind w:firstLine="0"/>
      </w:pPr>
      <w:r>
        <w:t>La va</w:t>
      </w:r>
      <w:r w:rsidRPr="00E25D60">
        <w:t xml:space="preserve">lutazione per i </w:t>
      </w:r>
      <w:r w:rsidRPr="00E25D60">
        <w:rPr>
          <w:i/>
        </w:rPr>
        <w:t>frequentanti</w:t>
      </w:r>
      <w:r>
        <w:t xml:space="preserve"> prevede più fasi:</w:t>
      </w:r>
    </w:p>
    <w:p w:rsidR="001E1258" w:rsidRDefault="001E1258" w:rsidP="001E1258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>
        <w:t>il</w:t>
      </w:r>
      <w:r w:rsidRPr="00E25D60">
        <w:t xml:space="preserve"> 50% </w:t>
      </w:r>
      <w:r>
        <w:t xml:space="preserve">è </w:t>
      </w:r>
      <w:r w:rsidRPr="00E25D60">
        <w:t>attribuita a</w:t>
      </w:r>
      <w:r>
        <w:t>l lavoro di analisi di un’impresa multibusiness, a cui segue l’elaborazione di una proposta di operazione straordinaria. L’intero lavoro (analisi + operazione straordinaria) viene presentato ai docenti in una apposita sessione dedicata a ciascun gruppo; i docenti formulano una valutazione. A tale valutazione si aggiunge un bonus che viene attribuito ai tre gruppi che, secondo gli esponenti aziendali che interverranno nelle lezioni finali, risulteranno i migliori sotto il profilo dell’operazione straordinaria ipotizzata;</w:t>
      </w:r>
    </w:p>
    <w:p w:rsidR="001E1258" w:rsidRPr="00E25D60" w:rsidRDefault="001E1258" w:rsidP="001E1258">
      <w:pPr>
        <w:pStyle w:val="Testo2"/>
        <w:numPr>
          <w:ilvl w:val="0"/>
          <w:numId w:val="1"/>
        </w:numPr>
        <w:tabs>
          <w:tab w:val="clear" w:pos="284"/>
        </w:tabs>
        <w:ind w:left="284" w:hanging="284"/>
      </w:pPr>
      <w:r>
        <w:t>il restante</w:t>
      </w:r>
      <w:r w:rsidRPr="00E25D60">
        <w:t xml:space="preserve"> 50% </w:t>
      </w:r>
      <w:r>
        <w:t xml:space="preserve">è assegnato </w:t>
      </w:r>
      <w:r w:rsidRPr="00E25D60">
        <w:t xml:space="preserve">con un esame scritto composto da </w:t>
      </w:r>
      <w:bookmarkStart w:id="4" w:name="_Hlk39128621"/>
      <w:r w:rsidR="00076C22">
        <w:t xml:space="preserve">un mix di </w:t>
      </w:r>
      <w:r w:rsidRPr="00E25D60">
        <w:t>domande aperte</w:t>
      </w:r>
      <w:r w:rsidR="00076C22">
        <w:t xml:space="preserve"> e domande a risposta multipla</w:t>
      </w:r>
      <w:bookmarkEnd w:id="4"/>
      <w:r>
        <w:t>. Ess</w:t>
      </w:r>
      <w:r w:rsidR="00076C22">
        <w:t>o</w:t>
      </w:r>
      <w:r>
        <w:t xml:space="preserve"> è </w:t>
      </w:r>
      <w:r w:rsidRPr="00E25D60">
        <w:t>volto a valutare l’apprendimento d</w:t>
      </w:r>
      <w:r>
        <w:t xml:space="preserve">ei concetti e dei modelli presentati </w:t>
      </w:r>
      <w:r w:rsidRPr="00E25D60">
        <w:t>in aula</w:t>
      </w:r>
      <w:r>
        <w:t>, nonché alla capacità degli studenti di applicarli alle imprese da loro esaminate durante il corso. Alcune domande possono riguardare i contenuti delle testimonianze previste dal programma.</w:t>
      </w:r>
    </w:p>
    <w:p w:rsidR="001E1258" w:rsidRDefault="001E1258" w:rsidP="001E1258">
      <w:pPr>
        <w:pStyle w:val="Testo2"/>
        <w:spacing w:before="120"/>
        <w:ind w:firstLine="0"/>
      </w:pPr>
      <w:r>
        <w:t>La v</w:t>
      </w:r>
      <w:r w:rsidRPr="00E25D60">
        <w:t xml:space="preserve">alutazione per i </w:t>
      </w:r>
      <w:r w:rsidRPr="00E25D60">
        <w:rPr>
          <w:i/>
        </w:rPr>
        <w:t>non frequentanti</w:t>
      </w:r>
      <w:r>
        <w:t xml:space="preserve"> prevede un</w:t>
      </w:r>
      <w:r w:rsidRPr="00E25D60">
        <w:t xml:space="preserve"> esame scritto composto da </w:t>
      </w:r>
      <w:r w:rsidR="00076C22" w:rsidRPr="00076C22">
        <w:t>un mix di domande aperte e domande a risposta multipla</w:t>
      </w:r>
      <w:r w:rsidR="00076C22">
        <w:t xml:space="preserve">. Esso è volto a valutare </w:t>
      </w:r>
      <w:r w:rsidRPr="00E25D60">
        <w:t>l’apprendimento de</w:t>
      </w:r>
      <w:r>
        <w:t xml:space="preserve">i concetti e dei modelli proposti nei testi e nelle letture dal programma. </w:t>
      </w:r>
    </w:p>
    <w:p w:rsidR="001E1258" w:rsidRDefault="001E1258" w:rsidP="001E12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E1258" w:rsidRDefault="001E1258" w:rsidP="001E1258">
      <w:pPr>
        <w:pStyle w:val="Testo2"/>
      </w:pPr>
      <w:r w:rsidRPr="001E1258">
        <w:t>Non sono previste propedeuticità specifiche. È tuttavia opportuno che po studente che accosta questo corso possegga le conscenze di base relative alla strategia competitiva a livello di business, che tipicamente si acquiscono in corsi di strategia e politica aziendale di base e in corsi di marketing strategico. È inoltre auspicata la capacità di analisi delle performnce economio-finanziarie di un’impresa (analisi di bilancio).</w:t>
      </w:r>
    </w:p>
    <w:p w:rsidR="00D321FB" w:rsidRPr="00D321FB" w:rsidRDefault="00D321FB" w:rsidP="00D321FB">
      <w:pPr>
        <w:pStyle w:val="Testo2"/>
      </w:pPr>
      <w:r w:rsidRPr="00D321FB"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:rsidR="00D321FB" w:rsidRPr="001E1258" w:rsidRDefault="00D321FB" w:rsidP="001E1258">
      <w:pPr>
        <w:pStyle w:val="Testo2"/>
      </w:pPr>
    </w:p>
    <w:sectPr w:rsidR="00D321FB" w:rsidRPr="001E125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71" w:rsidRDefault="00630171" w:rsidP="000E62C7">
      <w:pPr>
        <w:spacing w:line="240" w:lineRule="auto"/>
      </w:pPr>
      <w:r>
        <w:separator/>
      </w:r>
    </w:p>
  </w:endnote>
  <w:endnote w:type="continuationSeparator" w:id="0">
    <w:p w:rsidR="00630171" w:rsidRDefault="00630171" w:rsidP="000E6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71" w:rsidRDefault="00630171" w:rsidP="000E62C7">
      <w:pPr>
        <w:spacing w:line="240" w:lineRule="auto"/>
      </w:pPr>
      <w:r>
        <w:separator/>
      </w:r>
    </w:p>
  </w:footnote>
  <w:footnote w:type="continuationSeparator" w:id="0">
    <w:p w:rsidR="00630171" w:rsidRDefault="00630171" w:rsidP="000E62C7">
      <w:pPr>
        <w:spacing w:line="240" w:lineRule="auto"/>
      </w:pPr>
      <w:r>
        <w:continuationSeparator/>
      </w:r>
    </w:p>
  </w:footnote>
  <w:footnote w:id="1">
    <w:p w:rsidR="000E62C7" w:rsidRDefault="000E62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2FF"/>
    <w:multiLevelType w:val="hybridMultilevel"/>
    <w:tmpl w:val="554A5392"/>
    <w:lvl w:ilvl="0" w:tplc="6C4C259C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213E2B"/>
    <w:multiLevelType w:val="hybridMultilevel"/>
    <w:tmpl w:val="7E888CA0"/>
    <w:lvl w:ilvl="0" w:tplc="056A0E28"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B9"/>
    <w:rsid w:val="00050FEC"/>
    <w:rsid w:val="00076C22"/>
    <w:rsid w:val="000E62C7"/>
    <w:rsid w:val="00153DB8"/>
    <w:rsid w:val="00187B99"/>
    <w:rsid w:val="001D0B4C"/>
    <w:rsid w:val="001E1258"/>
    <w:rsid w:val="002014DD"/>
    <w:rsid w:val="002D5E17"/>
    <w:rsid w:val="0030277A"/>
    <w:rsid w:val="004D1217"/>
    <w:rsid w:val="004D6008"/>
    <w:rsid w:val="005E4088"/>
    <w:rsid w:val="00630171"/>
    <w:rsid w:val="00640794"/>
    <w:rsid w:val="006A3843"/>
    <w:rsid w:val="006F1772"/>
    <w:rsid w:val="008942E7"/>
    <w:rsid w:val="008A1204"/>
    <w:rsid w:val="00900CCA"/>
    <w:rsid w:val="00924B77"/>
    <w:rsid w:val="00940DA2"/>
    <w:rsid w:val="00957FE8"/>
    <w:rsid w:val="009E055C"/>
    <w:rsid w:val="00A74F6F"/>
    <w:rsid w:val="00AD7557"/>
    <w:rsid w:val="00B50C5D"/>
    <w:rsid w:val="00B51253"/>
    <w:rsid w:val="00B525CC"/>
    <w:rsid w:val="00D321FB"/>
    <w:rsid w:val="00D404F2"/>
    <w:rsid w:val="00DC7A56"/>
    <w:rsid w:val="00E607E6"/>
    <w:rsid w:val="00E83D25"/>
    <w:rsid w:val="00EB0329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E1258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6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2C7"/>
  </w:style>
  <w:style w:type="character" w:styleId="Rimandonotaapidipagina">
    <w:name w:val="footnote reference"/>
    <w:basedOn w:val="Carpredefinitoparagrafo"/>
    <w:rsid w:val="000E62C7"/>
    <w:rPr>
      <w:vertAlign w:val="superscript"/>
    </w:rPr>
  </w:style>
  <w:style w:type="character" w:styleId="Collegamentoipertestuale">
    <w:name w:val="Hyperlink"/>
    <w:basedOn w:val="Carpredefinitoparagrafo"/>
    <w:rsid w:val="000E62C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C7A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E1258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0E62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E62C7"/>
  </w:style>
  <w:style w:type="character" w:styleId="Rimandonotaapidipagina">
    <w:name w:val="footnote reference"/>
    <w:basedOn w:val="Carpredefinitoparagrafo"/>
    <w:rsid w:val="000E62C7"/>
    <w:rPr>
      <w:vertAlign w:val="superscript"/>
    </w:rPr>
  </w:style>
  <w:style w:type="character" w:styleId="Collegamentoipertestuale">
    <w:name w:val="Hyperlink"/>
    <w:basedOn w:val="Carpredefinitoparagrafo"/>
    <w:rsid w:val="000E62C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C7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tteo-pedrini/il-management-delle-politiche-di-sostenibilita-9788834323359-1422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7503-DD64-41D1-B169-AC91CC0E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3</cp:revision>
  <cp:lastPrinted>2003-03-27T10:42:00Z</cp:lastPrinted>
  <dcterms:created xsi:type="dcterms:W3CDTF">2020-04-30T07:24:00Z</dcterms:created>
  <dcterms:modified xsi:type="dcterms:W3CDTF">2020-07-14T12:56:00Z</dcterms:modified>
</cp:coreProperties>
</file>