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C8" w:rsidRPr="00C02079" w:rsidRDefault="00B511C8" w:rsidP="00B511C8">
      <w:pPr>
        <w:jc w:val="both"/>
        <w:outlineLvl w:val="0"/>
        <w:rPr>
          <w:b/>
          <w:sz w:val="20"/>
          <w:szCs w:val="20"/>
          <w:lang w:val="en-US"/>
        </w:rPr>
      </w:pPr>
      <w:r w:rsidRPr="00C02079">
        <w:rPr>
          <w:b/>
          <w:sz w:val="20"/>
          <w:szCs w:val="20"/>
          <w:lang w:val="en-US"/>
        </w:rPr>
        <w:t>Microeconomics</w:t>
      </w:r>
    </w:p>
    <w:p w:rsidR="002D5E17" w:rsidRDefault="00B511C8" w:rsidP="00B511C8">
      <w:pPr>
        <w:pStyle w:val="Titolo1"/>
        <w:spacing w:before="0"/>
        <w:rPr>
          <w:b w:val="0"/>
          <w:smallCaps/>
          <w:sz w:val="18"/>
          <w:szCs w:val="18"/>
          <w:lang w:val="en-US"/>
        </w:rPr>
      </w:pPr>
      <w:r w:rsidRPr="00B511C8">
        <w:rPr>
          <w:b w:val="0"/>
          <w:smallCaps/>
          <w:sz w:val="18"/>
          <w:szCs w:val="18"/>
          <w:lang w:val="en-US"/>
        </w:rPr>
        <w:t>Prof. Carsten Krabbe Nielsen (</w:t>
      </w:r>
      <w:r w:rsidR="00402304">
        <w:rPr>
          <w:b w:val="0"/>
          <w:smallCaps/>
          <w:sz w:val="18"/>
          <w:szCs w:val="18"/>
          <w:lang w:val="en-US"/>
        </w:rPr>
        <w:t>P</w:t>
      </w:r>
      <w:r w:rsidRPr="00B511C8">
        <w:rPr>
          <w:b w:val="0"/>
          <w:smallCaps/>
          <w:sz w:val="18"/>
          <w:szCs w:val="18"/>
          <w:lang w:val="en-US"/>
        </w:rPr>
        <w:t xml:space="preserve">art I); </w:t>
      </w:r>
      <w:r w:rsidR="00402304">
        <w:rPr>
          <w:b w:val="0"/>
          <w:smallCaps/>
          <w:sz w:val="18"/>
          <w:szCs w:val="18"/>
          <w:lang w:val="en-US"/>
        </w:rPr>
        <w:t>Prof. Alessandra Michelangeli (P</w:t>
      </w:r>
      <w:r w:rsidRPr="00B511C8">
        <w:rPr>
          <w:b w:val="0"/>
          <w:smallCaps/>
          <w:sz w:val="18"/>
          <w:szCs w:val="18"/>
          <w:lang w:val="en-US"/>
        </w:rPr>
        <w:t>art II)</w:t>
      </w:r>
    </w:p>
    <w:p w:rsidR="00B511C8" w:rsidRPr="00514034" w:rsidRDefault="00B511C8" w:rsidP="00B511C8">
      <w:pPr>
        <w:spacing w:before="240" w:after="120"/>
        <w:rPr>
          <w:b/>
          <w:i/>
          <w:sz w:val="18"/>
          <w:lang w:val="en-US"/>
        </w:rPr>
      </w:pPr>
      <w:r w:rsidRPr="00514034">
        <w:rPr>
          <w:b/>
          <w:i/>
          <w:sz w:val="18"/>
          <w:lang w:val="en-US"/>
        </w:rPr>
        <w:t>COURSE AIMS AND</w:t>
      </w:r>
      <w:r>
        <w:rPr>
          <w:b/>
          <w:i/>
          <w:sz w:val="18"/>
          <w:lang w:val="en-US"/>
        </w:rPr>
        <w:t xml:space="preserve"> </w:t>
      </w:r>
      <w:r w:rsidR="00793378">
        <w:rPr>
          <w:b/>
          <w:i/>
          <w:sz w:val="18"/>
          <w:lang w:val="en-US"/>
        </w:rPr>
        <w:t>INTEND</w:t>
      </w:r>
      <w:r w:rsidRPr="00EA5363">
        <w:rPr>
          <w:b/>
          <w:i/>
          <w:sz w:val="18"/>
          <w:lang w:val="en-US"/>
        </w:rPr>
        <w:t>ED</w:t>
      </w:r>
      <w:r w:rsidRPr="00514034">
        <w:rPr>
          <w:b/>
          <w:i/>
          <w:sz w:val="18"/>
          <w:lang w:val="en-US"/>
        </w:rPr>
        <w:t xml:space="preserve"> LEARNING OUTCOMES </w:t>
      </w:r>
    </w:p>
    <w:p w:rsidR="00037E8E" w:rsidRPr="00037E8E" w:rsidRDefault="00037E8E" w:rsidP="00037E8E">
      <w:pPr>
        <w:rPr>
          <w:sz w:val="20"/>
          <w:szCs w:val="20"/>
          <w:lang w:val="en-US"/>
        </w:rPr>
      </w:pPr>
      <w:r w:rsidRPr="00037E8E">
        <w:rPr>
          <w:sz w:val="20"/>
          <w:szCs w:val="20"/>
          <w:lang w:val="en-US"/>
        </w:rPr>
        <w:t xml:space="preserve">This course is a graduate level introduction to Microeconomics. It aims to provide students with a firm grounding in the analytical methods of microeconomic theory used by economists without being overly mathematical, and to develop a capacity to apply economic concepts to real-world problems. </w:t>
      </w:r>
    </w:p>
    <w:p w:rsidR="00037E8E" w:rsidRPr="00037E8E" w:rsidRDefault="00037E8E" w:rsidP="00037E8E">
      <w:pPr>
        <w:rPr>
          <w:sz w:val="20"/>
          <w:szCs w:val="20"/>
          <w:lang w:val="en-US"/>
        </w:rPr>
      </w:pPr>
      <w:r w:rsidRPr="00037E8E">
        <w:rPr>
          <w:sz w:val="20"/>
          <w:szCs w:val="20"/>
          <w:lang w:val="en-US"/>
        </w:rPr>
        <w:t xml:space="preserve">After completion of the course the student should </w:t>
      </w:r>
    </w:p>
    <w:p w:rsidR="00037E8E" w:rsidRPr="00037E8E" w:rsidRDefault="00037E8E" w:rsidP="00037E8E">
      <w:pPr>
        <w:ind w:left="284" w:hanging="284"/>
        <w:rPr>
          <w:sz w:val="20"/>
          <w:szCs w:val="20"/>
          <w:lang w:val="en-GB"/>
        </w:rPr>
      </w:pPr>
      <w:r>
        <w:rPr>
          <w:sz w:val="20"/>
          <w:szCs w:val="20"/>
          <w:lang w:val="en-GB"/>
        </w:rPr>
        <w:t>–</w:t>
      </w:r>
      <w:r>
        <w:rPr>
          <w:sz w:val="20"/>
          <w:szCs w:val="20"/>
          <w:lang w:val="en-GB"/>
        </w:rPr>
        <w:tab/>
      </w:r>
      <w:r w:rsidRPr="00037E8E">
        <w:rPr>
          <w:sz w:val="20"/>
          <w:szCs w:val="20"/>
          <w:lang w:val="en-GB"/>
        </w:rPr>
        <w:t>be familiar with the principles, formal tools and core models that form the basis of microeconomic reasoning</w:t>
      </w:r>
    </w:p>
    <w:p w:rsidR="00037E8E" w:rsidRPr="00037E8E" w:rsidRDefault="00037E8E" w:rsidP="00037E8E">
      <w:pPr>
        <w:ind w:left="284" w:hanging="284"/>
        <w:rPr>
          <w:sz w:val="20"/>
          <w:szCs w:val="20"/>
          <w:lang w:val="en-GB"/>
        </w:rPr>
      </w:pPr>
      <w:r>
        <w:rPr>
          <w:sz w:val="20"/>
          <w:szCs w:val="20"/>
          <w:lang w:val="en-GB"/>
        </w:rPr>
        <w:t>–</w:t>
      </w:r>
      <w:r>
        <w:rPr>
          <w:sz w:val="20"/>
          <w:szCs w:val="20"/>
          <w:lang w:val="en-GB"/>
        </w:rPr>
        <w:tab/>
      </w:r>
      <w:r w:rsidRPr="00037E8E">
        <w:rPr>
          <w:sz w:val="20"/>
          <w:szCs w:val="20"/>
          <w:lang w:val="en-GB"/>
        </w:rPr>
        <w:t>be acquainted with some of the real world economic issues and problems that motivate the development of microeconomic models</w:t>
      </w:r>
    </w:p>
    <w:p w:rsidR="00037E8E" w:rsidRPr="00037E8E" w:rsidRDefault="00037E8E" w:rsidP="00037E8E">
      <w:pPr>
        <w:ind w:left="284" w:hanging="284"/>
        <w:rPr>
          <w:sz w:val="20"/>
          <w:szCs w:val="20"/>
          <w:lang w:val="en-GB"/>
        </w:rPr>
      </w:pPr>
      <w:r>
        <w:rPr>
          <w:sz w:val="20"/>
          <w:szCs w:val="20"/>
          <w:lang w:val="en-GB"/>
        </w:rPr>
        <w:t>–</w:t>
      </w:r>
      <w:r>
        <w:rPr>
          <w:sz w:val="20"/>
          <w:szCs w:val="20"/>
          <w:lang w:val="en-GB"/>
        </w:rPr>
        <w:tab/>
      </w:r>
      <w:r w:rsidRPr="00037E8E">
        <w:rPr>
          <w:sz w:val="20"/>
          <w:szCs w:val="20"/>
          <w:lang w:val="en-GB"/>
        </w:rPr>
        <w:t>be able to effectively employ microeconomic models in the context of real world issues</w:t>
      </w:r>
    </w:p>
    <w:p w:rsidR="00037E8E" w:rsidRPr="00037E8E" w:rsidRDefault="00037E8E" w:rsidP="00037E8E">
      <w:pPr>
        <w:ind w:left="284" w:hanging="284"/>
        <w:rPr>
          <w:sz w:val="20"/>
          <w:szCs w:val="20"/>
          <w:lang w:val="en-GB"/>
        </w:rPr>
      </w:pPr>
      <w:r>
        <w:rPr>
          <w:sz w:val="20"/>
          <w:szCs w:val="20"/>
          <w:lang w:val="en-GB"/>
        </w:rPr>
        <w:t>–</w:t>
      </w:r>
      <w:r>
        <w:rPr>
          <w:sz w:val="20"/>
          <w:szCs w:val="20"/>
          <w:lang w:val="en-GB"/>
        </w:rPr>
        <w:tab/>
      </w:r>
      <w:r w:rsidRPr="00037E8E">
        <w:rPr>
          <w:sz w:val="20"/>
          <w:szCs w:val="20"/>
          <w:lang w:val="en-GB"/>
        </w:rPr>
        <w:t xml:space="preserve">understand both the relevance and short comings of these models in addressing said issues </w:t>
      </w:r>
    </w:p>
    <w:p w:rsidR="00037E8E" w:rsidRPr="00037E8E" w:rsidRDefault="00037E8E" w:rsidP="00037E8E">
      <w:pPr>
        <w:ind w:left="284" w:hanging="284"/>
        <w:rPr>
          <w:sz w:val="20"/>
          <w:szCs w:val="20"/>
          <w:lang w:val="en-GB"/>
        </w:rPr>
      </w:pPr>
      <w:r>
        <w:rPr>
          <w:sz w:val="20"/>
          <w:szCs w:val="20"/>
          <w:lang w:val="en-GB"/>
        </w:rPr>
        <w:t>–</w:t>
      </w:r>
      <w:r>
        <w:rPr>
          <w:sz w:val="20"/>
          <w:szCs w:val="20"/>
          <w:lang w:val="en-GB"/>
        </w:rPr>
        <w:tab/>
      </w:r>
      <w:r w:rsidRPr="00037E8E">
        <w:rPr>
          <w:sz w:val="20"/>
          <w:szCs w:val="20"/>
          <w:lang w:val="en-GB"/>
        </w:rPr>
        <w:t>possess the necessary terminology to competently discuss economic issues and communicate economic results</w:t>
      </w:r>
    </w:p>
    <w:p w:rsidR="00037E8E" w:rsidRPr="00037E8E" w:rsidRDefault="00037E8E" w:rsidP="00037E8E">
      <w:pPr>
        <w:ind w:left="284" w:hanging="284"/>
        <w:rPr>
          <w:sz w:val="20"/>
          <w:szCs w:val="20"/>
          <w:lang w:val="en-GB"/>
        </w:rPr>
      </w:pPr>
      <w:r>
        <w:rPr>
          <w:sz w:val="20"/>
          <w:szCs w:val="20"/>
          <w:lang w:val="en-GB"/>
        </w:rPr>
        <w:t>–</w:t>
      </w:r>
      <w:r>
        <w:rPr>
          <w:sz w:val="20"/>
          <w:szCs w:val="20"/>
          <w:lang w:val="en-GB"/>
        </w:rPr>
        <w:tab/>
      </w:r>
      <w:r w:rsidRPr="00037E8E">
        <w:rPr>
          <w:sz w:val="20"/>
          <w:szCs w:val="20"/>
          <w:lang w:val="en-GB"/>
        </w:rPr>
        <w:t>be ready to independently read and assess the microeconomic literature that finds itself closer to the frontier of contemporary research</w:t>
      </w:r>
    </w:p>
    <w:p w:rsidR="00037E8E" w:rsidRPr="00514034" w:rsidRDefault="00037E8E" w:rsidP="00037E8E">
      <w:pPr>
        <w:spacing w:before="240" w:after="120"/>
        <w:rPr>
          <w:b/>
          <w:i/>
          <w:sz w:val="18"/>
          <w:lang w:val="en-US"/>
        </w:rPr>
      </w:pPr>
      <w:r w:rsidRPr="00514034">
        <w:rPr>
          <w:b/>
          <w:i/>
          <w:sz w:val="18"/>
          <w:lang w:val="en-US"/>
        </w:rPr>
        <w:t>COURSE CONTENT</w:t>
      </w:r>
    </w:p>
    <w:p w:rsidR="00037E8E" w:rsidRPr="00037E8E" w:rsidRDefault="00037E8E" w:rsidP="00037E8E">
      <w:pPr>
        <w:jc w:val="both"/>
        <w:rPr>
          <w:sz w:val="20"/>
          <w:szCs w:val="20"/>
          <w:lang w:val="en-US"/>
        </w:rPr>
      </w:pPr>
      <w:r w:rsidRPr="00037E8E">
        <w:rPr>
          <w:sz w:val="20"/>
          <w:szCs w:val="20"/>
          <w:lang w:val="en-US"/>
        </w:rPr>
        <w:t xml:space="preserve">The first part of the course covers the consumer, the firm and their joint interaction in equilibrium (partial and general). In presenting this material, attention shall be paid mostly to the formal structure of the classical microeconomic models as this will prepare the students for taking other courses that are more policy oriented. </w:t>
      </w:r>
    </w:p>
    <w:p w:rsidR="00037E8E" w:rsidRPr="00037E8E" w:rsidRDefault="00037E8E" w:rsidP="00037E8E">
      <w:pPr>
        <w:jc w:val="both"/>
        <w:rPr>
          <w:sz w:val="20"/>
          <w:szCs w:val="20"/>
          <w:lang w:val="en-US"/>
        </w:rPr>
      </w:pPr>
      <w:r w:rsidRPr="00037E8E">
        <w:rPr>
          <w:sz w:val="20"/>
          <w:szCs w:val="20"/>
          <w:lang w:val="en-US"/>
        </w:rPr>
        <w:t xml:space="preserve">The second part of the course focuses on the characterization of rational </w:t>
      </w:r>
      <w:proofErr w:type="spellStart"/>
      <w:r w:rsidRPr="00037E8E">
        <w:rPr>
          <w:sz w:val="20"/>
          <w:szCs w:val="20"/>
          <w:lang w:val="en-US"/>
        </w:rPr>
        <w:t>behaviour</w:t>
      </w:r>
      <w:proofErr w:type="spellEnd"/>
      <w:r w:rsidRPr="00037E8E">
        <w:rPr>
          <w:sz w:val="20"/>
          <w:szCs w:val="20"/>
          <w:lang w:val="en-US"/>
        </w:rPr>
        <w:t xml:space="preserve"> in a strategic environment (game theory) and on the formation of prices when competition is imperfect and/or when there is asymmetric information. Special emphasis will be given to economic applications. </w:t>
      </w:r>
    </w:p>
    <w:p w:rsidR="00037E8E" w:rsidRPr="00037E8E" w:rsidRDefault="00037E8E" w:rsidP="00037E8E">
      <w:pPr>
        <w:jc w:val="both"/>
        <w:rPr>
          <w:sz w:val="20"/>
          <w:szCs w:val="20"/>
          <w:lang w:val="en-US"/>
        </w:rPr>
      </w:pPr>
      <w:r w:rsidRPr="00037E8E">
        <w:rPr>
          <w:sz w:val="20"/>
          <w:szCs w:val="20"/>
          <w:lang w:val="en-US"/>
        </w:rPr>
        <w:t xml:space="preserve">The course will put much emphasis on analytical methods of reasoning. Problem-solving exercises will be a crucial learning tool. Problem sets will be assigned every week. </w:t>
      </w:r>
    </w:p>
    <w:p w:rsidR="00037E8E" w:rsidRPr="00514034" w:rsidRDefault="00037E8E" w:rsidP="00037E8E">
      <w:pPr>
        <w:spacing w:before="240" w:after="120"/>
        <w:rPr>
          <w:b/>
          <w:i/>
          <w:sz w:val="18"/>
          <w:lang w:val="en-US"/>
        </w:rPr>
      </w:pPr>
      <w:r w:rsidRPr="00514034">
        <w:rPr>
          <w:b/>
          <w:i/>
          <w:sz w:val="18"/>
          <w:lang w:val="en-US"/>
        </w:rPr>
        <w:t>READING LIST</w:t>
      </w:r>
    </w:p>
    <w:p w:rsidR="00037E8E" w:rsidRPr="00037E8E" w:rsidRDefault="00037E8E" w:rsidP="00037E8E">
      <w:pPr>
        <w:pStyle w:val="Testo1"/>
        <w:spacing w:before="0"/>
        <w:rPr>
          <w:rFonts w:ascii="Times New Roman" w:hAnsi="Times New Roman"/>
          <w:szCs w:val="18"/>
          <w:lang w:val="en-US"/>
        </w:rPr>
      </w:pPr>
      <w:r w:rsidRPr="00037E8E">
        <w:rPr>
          <w:rFonts w:ascii="Times New Roman" w:hAnsi="Times New Roman"/>
          <w:szCs w:val="18"/>
          <w:lang w:val="en-US"/>
        </w:rPr>
        <w:t xml:space="preserve">Part I: Carsten </w:t>
      </w:r>
      <w:proofErr w:type="spellStart"/>
      <w:r w:rsidRPr="00037E8E">
        <w:rPr>
          <w:rFonts w:ascii="Times New Roman" w:hAnsi="Times New Roman"/>
          <w:szCs w:val="18"/>
          <w:lang w:val="en-US"/>
        </w:rPr>
        <w:t>Krabbe</w:t>
      </w:r>
      <w:proofErr w:type="spellEnd"/>
      <w:r w:rsidRPr="00037E8E">
        <w:rPr>
          <w:rFonts w:ascii="Times New Roman" w:hAnsi="Times New Roman"/>
          <w:szCs w:val="18"/>
          <w:lang w:val="en-US"/>
        </w:rPr>
        <w:t xml:space="preserve"> Nielsen: Lecture Notes: Microeconomic Theory. </w:t>
      </w:r>
    </w:p>
    <w:p w:rsidR="00037E8E" w:rsidRPr="00037E8E" w:rsidRDefault="00037E8E" w:rsidP="00037E8E">
      <w:pPr>
        <w:pStyle w:val="Testo1"/>
        <w:spacing w:before="0"/>
        <w:rPr>
          <w:rFonts w:ascii="Times New Roman" w:hAnsi="Times New Roman"/>
          <w:szCs w:val="18"/>
          <w:lang w:val="en-US"/>
        </w:rPr>
      </w:pPr>
      <w:r w:rsidRPr="00037E8E">
        <w:rPr>
          <w:rFonts w:ascii="Times New Roman" w:hAnsi="Times New Roman"/>
          <w:szCs w:val="18"/>
          <w:lang w:val="en-US"/>
        </w:rPr>
        <w:t xml:space="preserve">Part II: Alessandra </w:t>
      </w:r>
      <w:proofErr w:type="spellStart"/>
      <w:r w:rsidRPr="00037E8E">
        <w:rPr>
          <w:rFonts w:ascii="Times New Roman" w:hAnsi="Times New Roman"/>
          <w:szCs w:val="18"/>
          <w:lang w:val="en-US"/>
        </w:rPr>
        <w:t>Michelangeli</w:t>
      </w:r>
      <w:proofErr w:type="spellEnd"/>
      <w:r w:rsidRPr="00037E8E">
        <w:rPr>
          <w:rFonts w:ascii="Times New Roman" w:hAnsi="Times New Roman"/>
          <w:szCs w:val="18"/>
          <w:lang w:val="en-US"/>
        </w:rPr>
        <w:t xml:space="preserve">: Lecture Notes: Game Theory </w:t>
      </w:r>
    </w:p>
    <w:p w:rsidR="00037E8E" w:rsidRPr="00037E8E" w:rsidRDefault="00037E8E" w:rsidP="00037E8E">
      <w:pPr>
        <w:pStyle w:val="Testo1"/>
        <w:spacing w:before="0"/>
        <w:rPr>
          <w:rFonts w:ascii="Times New Roman" w:hAnsi="Times New Roman"/>
          <w:bCs/>
          <w:spacing w:val="-5"/>
          <w:szCs w:val="18"/>
          <w:lang w:val="en-GB"/>
        </w:rPr>
      </w:pPr>
      <w:r w:rsidRPr="00037E8E">
        <w:rPr>
          <w:rFonts w:ascii="Times New Roman" w:hAnsi="Times New Roman"/>
          <w:spacing w:val="-5"/>
          <w:szCs w:val="18"/>
          <w:lang w:val="en-GB"/>
        </w:rPr>
        <w:t>The lecture notes will be made available on Blackboard.</w:t>
      </w:r>
    </w:p>
    <w:p w:rsidR="00037E8E" w:rsidRPr="00514034" w:rsidRDefault="00037E8E" w:rsidP="00037E8E">
      <w:pPr>
        <w:spacing w:before="240" w:after="120" w:line="220" w:lineRule="exact"/>
        <w:rPr>
          <w:b/>
          <w:i/>
          <w:sz w:val="18"/>
          <w:lang w:val="en-US"/>
        </w:rPr>
      </w:pPr>
      <w:r w:rsidRPr="00514034">
        <w:rPr>
          <w:b/>
          <w:i/>
          <w:sz w:val="18"/>
          <w:lang w:val="en-US"/>
        </w:rPr>
        <w:t>TEACHING METHOD</w:t>
      </w:r>
    </w:p>
    <w:p w:rsidR="00037E8E" w:rsidRPr="00AC3AC8" w:rsidRDefault="00037E8E" w:rsidP="00037E8E">
      <w:pPr>
        <w:pStyle w:val="Testo2"/>
        <w:rPr>
          <w:lang w:val="en-US"/>
        </w:rPr>
      </w:pPr>
      <w:r w:rsidRPr="00AC3AC8">
        <w:rPr>
          <w:lang w:val="en-US"/>
        </w:rPr>
        <w:lastRenderedPageBreak/>
        <w:t xml:space="preserve">The course consists of 30 lectures for the first part and 30 for the second. In addition, there will be weakly TA sessions where the solutions to the weekly exercises are discussed. </w:t>
      </w:r>
    </w:p>
    <w:p w:rsidR="00037E8E" w:rsidRPr="00906645" w:rsidRDefault="00037E8E" w:rsidP="00037E8E">
      <w:pPr>
        <w:spacing w:before="240" w:after="120" w:line="220" w:lineRule="exact"/>
        <w:rPr>
          <w:b/>
          <w:i/>
          <w:sz w:val="18"/>
          <w:lang w:val="en-US"/>
        </w:rPr>
      </w:pPr>
      <w:r w:rsidRPr="00906645">
        <w:rPr>
          <w:b/>
          <w:i/>
          <w:sz w:val="18"/>
          <w:lang w:val="en-US"/>
        </w:rPr>
        <w:t>ASSESSMENT METHOD AND CRITERIA</w:t>
      </w:r>
    </w:p>
    <w:p w:rsidR="00037E8E" w:rsidRPr="00AC3AC8" w:rsidRDefault="00037E8E" w:rsidP="00037E8E">
      <w:pPr>
        <w:pStyle w:val="Testo2"/>
        <w:rPr>
          <w:lang w:val="en-US"/>
        </w:rPr>
      </w:pPr>
      <w:r w:rsidRPr="00AC3AC8">
        <w:rPr>
          <w:lang w:val="en-US"/>
        </w:rPr>
        <w:t xml:space="preserve">The written midterm exam consists of two questions, each with the same weight, and lasts one hour. </w:t>
      </w:r>
    </w:p>
    <w:p w:rsidR="00037E8E" w:rsidRPr="00AC3AC8" w:rsidRDefault="00037E8E" w:rsidP="00037E8E">
      <w:pPr>
        <w:pStyle w:val="Testo2"/>
        <w:rPr>
          <w:lang w:val="en-US"/>
        </w:rPr>
      </w:pPr>
      <w:r w:rsidRPr="00AC3AC8">
        <w:rPr>
          <w:lang w:val="en-US"/>
        </w:rPr>
        <w:t xml:space="preserve">The final exam is also written. It consists of two questions for each part and lasts 120 minutes. </w:t>
      </w:r>
    </w:p>
    <w:p w:rsidR="00037E8E" w:rsidRPr="00AC3AC8" w:rsidRDefault="00037E8E" w:rsidP="00037E8E">
      <w:pPr>
        <w:pStyle w:val="Testo2"/>
        <w:rPr>
          <w:lang w:val="en-US"/>
        </w:rPr>
      </w:pPr>
      <w:r w:rsidRPr="00AC3AC8">
        <w:rPr>
          <w:lang w:val="en-US"/>
        </w:rPr>
        <w:t xml:space="preserve">If the student receives at least 17/30 in the midterm exam, he/she has the option (not the obligation) to take only the second part (two questions, 60 minutes) in any of the exams until the start of the next course. In that case his/her final grade will be the average of the grade for the midterm exam and the grade obtained in the second part. </w:t>
      </w:r>
    </w:p>
    <w:p w:rsidR="00037E8E" w:rsidRPr="00AC3AC8" w:rsidRDefault="00037E8E" w:rsidP="00037E8E">
      <w:pPr>
        <w:pStyle w:val="Testo2"/>
        <w:rPr>
          <w:lang w:val="en-US"/>
        </w:rPr>
      </w:pPr>
      <w:r w:rsidRPr="00AC3AC8">
        <w:rPr>
          <w:lang w:val="en-US"/>
        </w:rPr>
        <w:t xml:space="preserve">If the student decides to (try to) answer the first part of any final exam, this annuls the midterm exam and from then on, he/she no longer has the option to take only the second part of the final exam. </w:t>
      </w:r>
    </w:p>
    <w:p w:rsidR="00037E8E" w:rsidRPr="00514034" w:rsidRDefault="00037E8E" w:rsidP="00037E8E">
      <w:pPr>
        <w:spacing w:before="240" w:after="120"/>
        <w:rPr>
          <w:b/>
          <w:i/>
          <w:sz w:val="18"/>
          <w:lang w:val="en-US"/>
        </w:rPr>
      </w:pPr>
      <w:r w:rsidRPr="00514034">
        <w:rPr>
          <w:b/>
          <w:i/>
          <w:sz w:val="18"/>
          <w:lang w:val="en-US"/>
        </w:rPr>
        <w:t>NOTES AND PREREQUISITES</w:t>
      </w:r>
    </w:p>
    <w:p w:rsidR="00037E8E" w:rsidRPr="00AC3AC8" w:rsidRDefault="00037E8E" w:rsidP="00037E8E">
      <w:pPr>
        <w:pStyle w:val="Testo2"/>
        <w:rPr>
          <w:lang w:val="en-US"/>
        </w:rPr>
      </w:pPr>
      <w:r w:rsidRPr="00AC3AC8">
        <w:rPr>
          <w:lang w:val="en-US"/>
        </w:rPr>
        <w:t xml:space="preserve">The course builds on the first year graduate course in mathematics. </w:t>
      </w:r>
    </w:p>
    <w:p w:rsidR="00037E8E" w:rsidRPr="00AC3AC8" w:rsidRDefault="00037E8E" w:rsidP="00037E8E">
      <w:pPr>
        <w:pStyle w:val="Testo2"/>
        <w:rPr>
          <w:lang w:val="en-US"/>
        </w:rPr>
      </w:pPr>
      <w:r w:rsidRPr="00AC3AC8">
        <w:rPr>
          <w:lang w:val="en-US"/>
        </w:rPr>
        <w:t xml:space="preserve">A more detailed syllabus will be made available at the beginning of the course. </w:t>
      </w:r>
    </w:p>
    <w:p w:rsidR="00037E8E" w:rsidRPr="006C2684" w:rsidRDefault="00037E8E" w:rsidP="00037E8E">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037E8E" w:rsidRPr="00037E8E" w:rsidRDefault="00037E8E" w:rsidP="00037E8E">
      <w:pPr>
        <w:pStyle w:val="Testo2"/>
        <w:spacing w:before="120"/>
        <w:rPr>
          <w:i/>
          <w:lang w:val="en-US"/>
        </w:rPr>
      </w:pPr>
      <w:r w:rsidRPr="00037E8E">
        <w:rPr>
          <w:i/>
          <w:lang w:val="en-US"/>
        </w:rPr>
        <w:t>O</w:t>
      </w:r>
      <w:r w:rsidRPr="00037E8E">
        <w:rPr>
          <w:i/>
          <w:lang w:val="en-US"/>
        </w:rPr>
        <w:t>ffice hours</w:t>
      </w:r>
    </w:p>
    <w:p w:rsidR="00037E8E" w:rsidRPr="00AC3AC8" w:rsidRDefault="00037E8E" w:rsidP="00037E8E">
      <w:pPr>
        <w:pStyle w:val="Testo2"/>
        <w:rPr>
          <w:lang w:val="en-US"/>
        </w:rPr>
      </w:pPr>
      <w:r w:rsidRPr="00AC3AC8">
        <w:rPr>
          <w:lang w:val="en-US"/>
        </w:rPr>
        <w:t xml:space="preserve">Carsten Nielsen: Wednesdays from 17.45 to 18.45 in Via Necchi, 102 bis. </w:t>
      </w:r>
    </w:p>
    <w:p w:rsidR="00037E8E" w:rsidRPr="00AC3AC8" w:rsidRDefault="00037E8E" w:rsidP="00037E8E">
      <w:pPr>
        <w:pStyle w:val="Testo2"/>
        <w:rPr>
          <w:lang w:val="en-US"/>
        </w:rPr>
      </w:pPr>
      <w:r w:rsidRPr="00AC3AC8">
        <w:rPr>
          <w:lang w:val="en-US"/>
        </w:rPr>
        <w:t>Alessandra Michelangeli: students can send an email to alessandra.michelangeli</w:t>
      </w:r>
      <w:r>
        <w:rPr>
          <w:lang w:val="en-US"/>
        </w:rPr>
        <w:t>@unimib.it to set up an appoint</w:t>
      </w:r>
      <w:r w:rsidRPr="00AC3AC8">
        <w:rPr>
          <w:lang w:val="en-US"/>
        </w:rPr>
        <w:t>ment.</w:t>
      </w:r>
      <w:bookmarkStart w:id="0" w:name="_GoBack"/>
      <w:bookmarkEnd w:id="0"/>
    </w:p>
    <w:sectPr w:rsidR="00037E8E" w:rsidRPr="00AC3AC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99C"/>
    <w:multiLevelType w:val="hybridMultilevel"/>
    <w:tmpl w:val="DED8C8C0"/>
    <w:lvl w:ilvl="0" w:tplc="148CA31C">
      <w:numFmt w:val="bullet"/>
      <w:lvlText w:val="–"/>
      <w:lvlJc w:val="left"/>
      <w:pPr>
        <w:ind w:left="720" w:hanging="360"/>
      </w:pPr>
      <w:rPr>
        <w:rFonts w:ascii="Times New Roman" w:eastAsia="Batang"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2F249F"/>
    <w:multiLevelType w:val="hybridMultilevel"/>
    <w:tmpl w:val="1EC85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C8"/>
    <w:rsid w:val="00037E8E"/>
    <w:rsid w:val="00187B99"/>
    <w:rsid w:val="002014DD"/>
    <w:rsid w:val="002D5E17"/>
    <w:rsid w:val="00402304"/>
    <w:rsid w:val="004D1217"/>
    <w:rsid w:val="004D6008"/>
    <w:rsid w:val="00640794"/>
    <w:rsid w:val="006F1772"/>
    <w:rsid w:val="00793378"/>
    <w:rsid w:val="008942E7"/>
    <w:rsid w:val="008A1204"/>
    <w:rsid w:val="00900CCA"/>
    <w:rsid w:val="00924B77"/>
    <w:rsid w:val="00940DA2"/>
    <w:rsid w:val="009E055C"/>
    <w:rsid w:val="00A74F6F"/>
    <w:rsid w:val="00AD7557"/>
    <w:rsid w:val="00B031C9"/>
    <w:rsid w:val="00B50C5D"/>
    <w:rsid w:val="00B511C8"/>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5D7C2"/>
  <w15:chartTrackingRefBased/>
  <w15:docId w15:val="{37C3346F-4960-44B7-B7F5-7A26162F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11C8"/>
    <w:rPr>
      <w:rFonts w:eastAsia="Batang"/>
      <w:sz w:val="24"/>
      <w:szCs w:val="24"/>
      <w:lang w:eastAsia="ko-K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02304"/>
    <w:pPr>
      <w:ind w:left="720"/>
      <w:contextualSpacing/>
    </w:pPr>
  </w:style>
  <w:style w:type="paragraph" w:styleId="NormaleWeb">
    <w:name w:val="Normal (Web)"/>
    <w:basedOn w:val="Normale"/>
    <w:uiPriority w:val="99"/>
    <w:unhideWhenUsed/>
    <w:rsid w:val="00B031C9"/>
    <w:pPr>
      <w:spacing w:before="100" w:beforeAutospacing="1" w:after="100" w:afterAutospacing="1"/>
    </w:pPr>
    <w:rPr>
      <w:rFonts w:eastAsiaTheme="minorHAns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2D21-09BC-4230-9389-3387AED7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2</Pages>
  <Words>580</Words>
  <Characters>3122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2019-06-03T10:50:00Z</dcterms:created>
  <dcterms:modified xsi:type="dcterms:W3CDTF">2020-06-26T10:43:00Z</dcterms:modified>
</cp:coreProperties>
</file>