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D2" w:rsidRPr="00060FCF" w:rsidRDefault="00740DD2" w:rsidP="00740DD2">
      <w:pPr>
        <w:pStyle w:val="Titolo1"/>
        <w:rPr>
          <w:lang w:val="en-US"/>
        </w:rPr>
      </w:pPr>
      <w:r w:rsidRPr="00060FCF">
        <w:rPr>
          <w:lang w:val="en-US"/>
        </w:rPr>
        <w:t xml:space="preserve">International economics </w:t>
      </w:r>
      <w:r w:rsidRPr="009D6603">
        <w:rPr>
          <w:lang w:val="en-US"/>
        </w:rPr>
        <w:t>(Real and Financial Globalization)</w:t>
      </w:r>
    </w:p>
    <w:p w:rsidR="00740DD2" w:rsidRPr="006A1A46" w:rsidRDefault="00740DD2" w:rsidP="00740DD2">
      <w:pPr>
        <w:pStyle w:val="Titolo2"/>
      </w:pPr>
      <w:r w:rsidRPr="006A1A46">
        <w:t>Prof. Rosario Crinò</w:t>
      </w:r>
    </w:p>
    <w:p w:rsidR="002D5E17" w:rsidRDefault="00740DD2" w:rsidP="00740DD2">
      <w:pPr>
        <w:spacing w:before="240" w:after="120" w:line="240" w:lineRule="exact"/>
        <w:rPr>
          <w:b/>
          <w:sz w:val="18"/>
        </w:rPr>
      </w:pPr>
      <w:r>
        <w:rPr>
          <w:b/>
          <w:i/>
          <w:sz w:val="18"/>
        </w:rPr>
        <w:t>OBIETTIVO DEL CORSO E RISULTATI DI APPRENDIMENTO ATTESI</w:t>
      </w:r>
    </w:p>
    <w:p w:rsidR="00740DD2" w:rsidRDefault="00740DD2" w:rsidP="006A1A46">
      <w:pPr>
        <w:spacing w:line="240" w:lineRule="exact"/>
      </w:pPr>
      <w:r w:rsidRPr="009D6603">
        <w:t xml:space="preserve">L’obiettivo del corso è quello di sviluppare la conoscenza </w:t>
      </w:r>
      <w:r>
        <w:t>delle teorie di base dell’economia internazionale utili a comprendere la globalizzazione nelle sue forme reali e finanziarie. Il corso si propone di fornire i principali strumenti metodologici necessari ad analizzare le dinamiche degli scambi di beni, le determinanti dei flussi migratori e di capitale, l’evoluzione delle partite correnti, e le fluttuazioni dei tassi di cambio nominali e reali.</w:t>
      </w:r>
    </w:p>
    <w:p w:rsidR="00740DD2" w:rsidRDefault="00740DD2" w:rsidP="006A1A46">
      <w:pPr>
        <w:spacing w:line="240" w:lineRule="exact"/>
      </w:pPr>
      <w:r>
        <w:t>Al termine del corso, gli studenti devono:</w:t>
      </w:r>
    </w:p>
    <w:p w:rsidR="00740DD2" w:rsidRDefault="00740DD2" w:rsidP="006A1A46">
      <w:pPr>
        <w:pStyle w:val="Paragrafoelenco"/>
        <w:numPr>
          <w:ilvl w:val="0"/>
          <w:numId w:val="1"/>
        </w:numPr>
        <w:spacing w:line="240" w:lineRule="exact"/>
        <w:ind w:left="284" w:hanging="284"/>
      </w:pPr>
      <w:r>
        <w:t>aver acquisito la conoscenza dei principali fatti legati all’andamento recente della globalizzazione;</w:t>
      </w:r>
    </w:p>
    <w:p w:rsidR="00740DD2" w:rsidRDefault="00740DD2" w:rsidP="006A1A46">
      <w:pPr>
        <w:pStyle w:val="Paragrafoelenco"/>
        <w:numPr>
          <w:ilvl w:val="0"/>
          <w:numId w:val="1"/>
        </w:numPr>
        <w:spacing w:line="240" w:lineRule="exact"/>
        <w:ind w:left="284" w:hanging="284"/>
      </w:pPr>
      <w:r>
        <w:t>aver acquisito la conoscenza e la comprensione delle principali teorie utili ad interpretare gli sviluppi della globalizzazione reale e finanziaria;</w:t>
      </w:r>
    </w:p>
    <w:p w:rsidR="00740DD2" w:rsidRDefault="00740DD2" w:rsidP="006A1A46">
      <w:pPr>
        <w:pStyle w:val="Paragrafoelenco"/>
        <w:numPr>
          <w:ilvl w:val="0"/>
          <w:numId w:val="1"/>
        </w:numPr>
        <w:spacing w:line="240" w:lineRule="exact"/>
        <w:ind w:left="284" w:hanging="284"/>
      </w:pPr>
      <w:r>
        <w:t>aver sviluppato un linguaggio tecnico che consenta loro di comunicare con chiarezza ed efficacia i fatti principali e le teorie di base dell’economia internazionale;</w:t>
      </w:r>
    </w:p>
    <w:p w:rsidR="00740DD2" w:rsidRDefault="00740DD2" w:rsidP="006A1A46">
      <w:pPr>
        <w:pStyle w:val="Paragrafoelenco"/>
        <w:numPr>
          <w:ilvl w:val="0"/>
          <w:numId w:val="1"/>
        </w:numPr>
        <w:spacing w:line="240" w:lineRule="exact"/>
        <w:ind w:left="284" w:hanging="284"/>
      </w:pPr>
      <w:r>
        <w:t>aver sviluppato conoscenze e competenze utili ad effettuare, in autonomia, analisi</w:t>
      </w:r>
      <w:r w:rsidR="00284F1F">
        <w:t xml:space="preserve"> </w:t>
      </w:r>
      <w:r w:rsidR="005000FC">
        <w:t xml:space="preserve">qualitative </w:t>
      </w:r>
      <w:r w:rsidR="00284F1F">
        <w:t>e</w:t>
      </w:r>
      <w:r w:rsidR="005000FC">
        <w:t xml:space="preserve"> quantitative,</w:t>
      </w:r>
      <w:r w:rsidR="00284F1F">
        <w:t xml:space="preserve"> supportate sia dall’utilizzo di dati che dall’applicazione di modelli matematici,</w:t>
      </w:r>
      <w:r>
        <w:t xml:space="preserve"> su temi legati alla globalizzazione reale e finanziaria;</w:t>
      </w:r>
    </w:p>
    <w:p w:rsidR="00740DD2" w:rsidRPr="009D6603" w:rsidRDefault="00740DD2" w:rsidP="006A1A46">
      <w:pPr>
        <w:pStyle w:val="Paragrafoelenco"/>
        <w:numPr>
          <w:ilvl w:val="0"/>
          <w:numId w:val="1"/>
        </w:numPr>
        <w:spacing w:line="240" w:lineRule="exact"/>
        <w:ind w:left="284" w:hanging="284"/>
      </w:pPr>
      <w:r>
        <w:t>essere in grado di analizzare ed interpretare le pubblicazioni delle principali agenzie ed istituti di ricerca nel campo dell’economia internazionale.</w:t>
      </w:r>
    </w:p>
    <w:p w:rsidR="00740DD2" w:rsidRDefault="00740DD2" w:rsidP="00740DD2">
      <w:pPr>
        <w:spacing w:before="240" w:after="120" w:line="240" w:lineRule="exact"/>
        <w:rPr>
          <w:b/>
          <w:sz w:val="18"/>
        </w:rPr>
      </w:pPr>
      <w:r>
        <w:rPr>
          <w:b/>
          <w:i/>
          <w:sz w:val="18"/>
        </w:rPr>
        <w:t>PROGRAMMA DEL CORSO</w:t>
      </w:r>
    </w:p>
    <w:p w:rsidR="00740DD2" w:rsidRPr="00D82C40" w:rsidRDefault="00740DD2" w:rsidP="006A1A46">
      <w:pPr>
        <w:spacing w:line="240" w:lineRule="exact"/>
        <w:rPr>
          <w:rFonts w:ascii="Times" w:hAnsi="Times"/>
          <w:b/>
          <w:bCs/>
          <w:iCs/>
          <w:sz w:val="18"/>
        </w:rPr>
      </w:pPr>
      <w:r w:rsidRPr="00D82C40">
        <w:t>1.</w:t>
      </w:r>
      <w:r w:rsidRPr="00D82C40">
        <w:tab/>
        <w:t>Fatti stilizzati sulla globalizzazione.</w:t>
      </w:r>
    </w:p>
    <w:p w:rsidR="00740DD2" w:rsidRPr="00D82C40" w:rsidRDefault="00740DD2" w:rsidP="006A1A46">
      <w:pPr>
        <w:spacing w:line="240" w:lineRule="exact"/>
        <w:ind w:left="284" w:hanging="284"/>
      </w:pPr>
      <w:r w:rsidRPr="00D82C40">
        <w:t>2.</w:t>
      </w:r>
      <w:r w:rsidRPr="00D82C40">
        <w:tab/>
        <w:t xml:space="preserve">Commercio basato sui vantaggi comparati: Modelli di </w:t>
      </w:r>
      <w:r>
        <w:t>Ricardo e</w:t>
      </w:r>
      <w:r w:rsidRPr="00D82C40">
        <w:t xml:space="preserve"> Heckscher-Ohlin.</w:t>
      </w:r>
    </w:p>
    <w:p w:rsidR="00740DD2" w:rsidRPr="00D82C40" w:rsidRDefault="00740DD2" w:rsidP="006A1A46">
      <w:pPr>
        <w:spacing w:line="240" w:lineRule="exact"/>
        <w:ind w:left="284" w:hanging="284"/>
      </w:pPr>
      <w:r w:rsidRPr="00D82C40">
        <w:t>3.</w:t>
      </w:r>
      <w:r w:rsidRPr="00D82C40">
        <w:tab/>
        <w:t>Commercio basato su economie</w:t>
      </w:r>
      <w:r>
        <w:t xml:space="preserve"> di scala e differenziazione dei prodotti</w:t>
      </w:r>
      <w:r w:rsidRPr="00D82C40">
        <w:t xml:space="preserve">. </w:t>
      </w:r>
    </w:p>
    <w:p w:rsidR="00740DD2" w:rsidRPr="00D82C40" w:rsidRDefault="00740DD2" w:rsidP="006A1A46">
      <w:pPr>
        <w:spacing w:line="240" w:lineRule="exact"/>
        <w:ind w:left="284" w:hanging="284"/>
      </w:pPr>
      <w:r w:rsidRPr="00D82C40">
        <w:t>4.</w:t>
      </w:r>
      <w:r w:rsidRPr="00D82C40">
        <w:tab/>
        <w:t>Migrazioni e trasferimenti internazionali di capitale.</w:t>
      </w:r>
    </w:p>
    <w:p w:rsidR="00740DD2" w:rsidRPr="00D82C40" w:rsidRDefault="00740DD2" w:rsidP="006A1A46">
      <w:pPr>
        <w:spacing w:line="240" w:lineRule="exact"/>
        <w:ind w:left="284" w:hanging="284"/>
      </w:pPr>
      <w:r w:rsidRPr="00D82C40">
        <w:t>5.</w:t>
      </w:r>
      <w:r w:rsidRPr="00D82C40">
        <w:tab/>
        <w:t>Imprese multinazionali.</w:t>
      </w:r>
    </w:p>
    <w:p w:rsidR="00740DD2" w:rsidRPr="00D82C40" w:rsidRDefault="00740DD2" w:rsidP="006A1A46">
      <w:pPr>
        <w:spacing w:line="240" w:lineRule="exact"/>
        <w:ind w:left="284" w:hanging="284"/>
      </w:pPr>
      <w:r w:rsidRPr="00D82C40">
        <w:t>6.</w:t>
      </w:r>
      <w:r w:rsidRPr="00D82C40">
        <w:tab/>
        <w:t xml:space="preserve">Strumenti della politica commerciale. </w:t>
      </w:r>
    </w:p>
    <w:p w:rsidR="00740DD2" w:rsidRPr="00D82C40" w:rsidRDefault="00740DD2" w:rsidP="006A1A46">
      <w:pPr>
        <w:spacing w:line="240" w:lineRule="exact"/>
        <w:ind w:left="284" w:hanging="284"/>
      </w:pPr>
      <w:r w:rsidRPr="00D82C40">
        <w:t>7.</w:t>
      </w:r>
      <w:r w:rsidRPr="00D82C40">
        <w:tab/>
        <w:t xml:space="preserve">Principali questioni di politica commerciale. </w:t>
      </w:r>
    </w:p>
    <w:p w:rsidR="00740DD2" w:rsidRPr="003326D9" w:rsidRDefault="00740DD2" w:rsidP="006A1A46">
      <w:pPr>
        <w:spacing w:line="240" w:lineRule="exact"/>
        <w:ind w:left="284" w:hanging="284"/>
      </w:pPr>
      <w:r w:rsidRPr="003326D9">
        <w:t>8.</w:t>
      </w:r>
      <w:r w:rsidRPr="003326D9">
        <w:tab/>
        <w:t xml:space="preserve">Partite correnti e bilancia dei pagamenti. </w:t>
      </w:r>
    </w:p>
    <w:p w:rsidR="00740DD2" w:rsidRPr="003326D9" w:rsidRDefault="00740DD2" w:rsidP="006A1A46">
      <w:pPr>
        <w:spacing w:line="240" w:lineRule="exact"/>
        <w:ind w:left="284" w:hanging="284"/>
      </w:pPr>
      <w:r w:rsidRPr="003326D9">
        <w:t>9.</w:t>
      </w:r>
      <w:r w:rsidRPr="003326D9">
        <w:tab/>
        <w:t>Legge del prezzo unico e parità dei poteri d’acquisto; de</w:t>
      </w:r>
      <w:r>
        <w:t>terminanti di lungo periodo del tasso di cambio reale</w:t>
      </w:r>
      <w:r w:rsidRPr="003326D9">
        <w:t>.</w:t>
      </w:r>
    </w:p>
    <w:p w:rsidR="00740DD2" w:rsidRPr="003326D9" w:rsidRDefault="00740DD2" w:rsidP="006A1A46">
      <w:pPr>
        <w:spacing w:line="240" w:lineRule="exact"/>
        <w:ind w:left="284" w:hanging="284"/>
      </w:pPr>
      <w:r w:rsidRPr="003326D9">
        <w:lastRenderedPageBreak/>
        <w:t>10.</w:t>
      </w:r>
      <w:r w:rsidRPr="003326D9">
        <w:tab/>
        <w:t xml:space="preserve">Determinanti di breve periodo del tasso di cambio reale: shock </w:t>
      </w:r>
      <w:r>
        <w:t>monetari</w:t>
      </w:r>
      <w:r w:rsidRPr="003326D9">
        <w:t xml:space="preserve">, rigidità dei prezzi, e tassi di cambio nominali. </w:t>
      </w:r>
    </w:p>
    <w:p w:rsidR="00740DD2" w:rsidRPr="003326D9" w:rsidRDefault="00740DD2" w:rsidP="006A1A46">
      <w:pPr>
        <w:spacing w:line="240" w:lineRule="exact"/>
        <w:ind w:left="284" w:hanging="284"/>
      </w:pPr>
      <w:r w:rsidRPr="003326D9">
        <w:t>11.</w:t>
      </w:r>
      <w:r w:rsidRPr="003326D9">
        <w:tab/>
        <w:t xml:space="preserve">Produzione e tassi di cambio. </w:t>
      </w:r>
    </w:p>
    <w:p w:rsidR="00740DD2" w:rsidRDefault="00740DD2" w:rsidP="006A1A46">
      <w:pPr>
        <w:spacing w:line="240" w:lineRule="exact"/>
        <w:ind w:left="284" w:hanging="284"/>
      </w:pPr>
      <w:r w:rsidRPr="003326D9">
        <w:t>12.</w:t>
      </w:r>
      <w:r w:rsidRPr="003326D9">
        <w:tab/>
        <w:t>Tassi di cambio fissi e crisi della bilancia dei pagamenti.</w:t>
      </w:r>
    </w:p>
    <w:p w:rsidR="00740DD2" w:rsidRPr="00435AEB" w:rsidRDefault="006A1A46" w:rsidP="00740DD2">
      <w:pPr>
        <w:ind w:left="284" w:hanging="284"/>
      </w:pPr>
      <w:r>
        <w:t>13.</w:t>
      </w:r>
      <w:r>
        <w:tab/>
      </w:r>
      <w:r w:rsidR="00740DD2" w:rsidRPr="00435AEB">
        <w:t>Euro ed aree valutarie ottimali.</w:t>
      </w:r>
    </w:p>
    <w:p w:rsidR="00740DD2" w:rsidRPr="005000FC" w:rsidRDefault="00740DD2" w:rsidP="006A1A46">
      <w:pPr>
        <w:spacing w:before="240" w:after="120"/>
        <w:rPr>
          <w:b/>
          <w:i/>
          <w:sz w:val="18"/>
          <w:lang w:val="en-US"/>
        </w:rPr>
      </w:pPr>
      <w:r w:rsidRPr="005000FC">
        <w:rPr>
          <w:b/>
          <w:i/>
          <w:sz w:val="18"/>
          <w:lang w:val="en-US"/>
        </w:rPr>
        <w:t>BIBLIOGRAFIA</w:t>
      </w:r>
      <w:r w:rsidR="000F26A7">
        <w:rPr>
          <w:rStyle w:val="Rimandonotaapidipagina"/>
          <w:b/>
          <w:i/>
          <w:sz w:val="18"/>
          <w:lang w:val="en-US"/>
        </w:rPr>
        <w:footnoteReference w:id="1"/>
      </w:r>
    </w:p>
    <w:p w:rsidR="00740DD2" w:rsidRPr="000F26A7" w:rsidRDefault="00740DD2" w:rsidP="00740DD2">
      <w:pPr>
        <w:pStyle w:val="Testo1"/>
        <w:spacing w:before="0" w:line="240" w:lineRule="atLeast"/>
        <w:rPr>
          <w:spacing w:val="-5"/>
          <w:lang w:val="en-US"/>
        </w:rPr>
      </w:pPr>
      <w:r w:rsidRPr="00763521">
        <w:rPr>
          <w:smallCaps/>
          <w:spacing w:val="-5"/>
          <w:sz w:val="16"/>
          <w:lang w:val="en-US"/>
        </w:rPr>
        <w:t>P. Krugman-M. Obstfeld-M. Melitz,</w:t>
      </w:r>
      <w:r w:rsidRPr="00763521">
        <w:rPr>
          <w:i/>
          <w:spacing w:val="-5"/>
          <w:lang w:val="en-US"/>
        </w:rPr>
        <w:t xml:space="preserve"> </w:t>
      </w:r>
      <w:r w:rsidRPr="00740DD2">
        <w:rPr>
          <w:i/>
          <w:spacing w:val="-5"/>
          <w:lang w:val="en-US"/>
        </w:rPr>
        <w:t>International Economics: Theory and Policy,</w:t>
      </w:r>
      <w:r w:rsidRPr="00740DD2">
        <w:rPr>
          <w:spacing w:val="-5"/>
          <w:lang w:val="en-US"/>
        </w:rPr>
        <w:t xml:space="preserve"> Eleventh Edition, Pearson, 2018 </w:t>
      </w:r>
      <w:r w:rsidR="000F26A7">
        <w:rPr>
          <w:spacing w:val="-5"/>
          <w:lang w:val="en-US"/>
        </w:rPr>
        <w:t xml:space="preserve"> </w:t>
      </w:r>
      <w:hyperlink r:id="rId9" w:history="1">
        <w:r w:rsidR="000F26A7" w:rsidRPr="000F26A7">
          <w:rPr>
            <w:rStyle w:val="Collegamentoipertestuale"/>
            <w:rFonts w:ascii="Times New Roman" w:hAnsi="Times New Roman"/>
            <w:i/>
            <w:sz w:val="16"/>
            <w:szCs w:val="16"/>
            <w:lang w:val="en-US"/>
          </w:rPr>
          <w:t>Acquista da VP</w:t>
        </w:r>
      </w:hyperlink>
      <w:bookmarkStart w:id="0" w:name="_GoBack"/>
      <w:bookmarkEnd w:id="0"/>
    </w:p>
    <w:p w:rsidR="00740DD2" w:rsidRPr="00D03CD2" w:rsidRDefault="00740DD2" w:rsidP="00740DD2">
      <w:pPr>
        <w:pStyle w:val="Testo1"/>
        <w:spacing w:before="0" w:line="240" w:lineRule="atLeast"/>
      </w:pPr>
      <w:r w:rsidRPr="00D03CD2">
        <w:t>Dispense preparate dal docente e disponibili su Blackboard.</w:t>
      </w:r>
    </w:p>
    <w:p w:rsidR="00740DD2" w:rsidRDefault="00740DD2" w:rsidP="00740DD2">
      <w:pPr>
        <w:spacing w:before="240" w:after="120"/>
        <w:rPr>
          <w:b/>
          <w:i/>
          <w:sz w:val="18"/>
        </w:rPr>
      </w:pPr>
      <w:r>
        <w:rPr>
          <w:b/>
          <w:i/>
          <w:sz w:val="18"/>
        </w:rPr>
        <w:t>DIDATTICA DEL CORSO</w:t>
      </w:r>
    </w:p>
    <w:p w:rsidR="00740DD2" w:rsidRPr="00740DD2" w:rsidRDefault="00740DD2" w:rsidP="00740DD2">
      <w:pPr>
        <w:pStyle w:val="Testo2"/>
      </w:pPr>
      <w:r w:rsidRPr="00740DD2">
        <w:t>Lezioni frontali.</w:t>
      </w:r>
    </w:p>
    <w:p w:rsidR="00740DD2" w:rsidRDefault="00740DD2" w:rsidP="00740DD2">
      <w:pPr>
        <w:spacing w:before="240" w:after="120"/>
        <w:rPr>
          <w:b/>
          <w:i/>
          <w:sz w:val="18"/>
        </w:rPr>
      </w:pPr>
      <w:r>
        <w:rPr>
          <w:b/>
          <w:i/>
          <w:sz w:val="18"/>
        </w:rPr>
        <w:t>METODO E CRITERI DI VALUTAZIONE</w:t>
      </w:r>
    </w:p>
    <w:p w:rsidR="00740DD2" w:rsidRDefault="00740DD2" w:rsidP="00740DD2">
      <w:pPr>
        <w:pStyle w:val="Testo2"/>
      </w:pPr>
      <w:r w:rsidRPr="007E0E88">
        <w:t>La valutazione si basa su un esame scritto</w:t>
      </w:r>
      <w:r>
        <w:t xml:space="preserve"> composto da domande teoriche ed esercizi numerici sull’intero programma del corso</w:t>
      </w:r>
      <w:r w:rsidRPr="007E0E88">
        <w:t>.</w:t>
      </w:r>
      <w:r>
        <w:t xml:space="preserve"> Lo studente può scegliere se sostenere l’esame in un’unica soluzione durante uno degli appelli d’esame al termine del corso o in</w:t>
      </w:r>
      <w:r w:rsidRPr="007E0E88">
        <w:t xml:space="preserve"> </w:t>
      </w:r>
      <w:r>
        <w:t>due prove parziali – prova intermedia durante la settimana di sospensione delle lezioni e prova di completamento nella sessione d’esame di giugno – che contribuiscono equamente alla determinazione del voto finale e alle quali possono partecipare tutti gli studenti. Indicazioni dettagliate riguardo alle modalità delle suddette prove d’esame saranno rese disponibili su Blackboard. Gli studenti frequentanti possono anche scegliere di svolgere un lavoro di gruppo su un tema indicato dal docente. Il punteggio ottenuto nel lavoro di gruppo contribuisce -</w:t>
      </w:r>
      <w:r w:rsidRPr="001937CC">
        <w:t xml:space="preserve"> </w:t>
      </w:r>
      <w:r>
        <w:t>fino ad un massimo di due punti - a determinare il voto finale assieme all’esame scritto, e ha validità fino alla sessione d’esame di luglio.</w:t>
      </w:r>
    </w:p>
    <w:p w:rsidR="00740DD2" w:rsidRDefault="00740DD2" w:rsidP="00740DD2">
      <w:pPr>
        <w:spacing w:before="240" w:after="120" w:line="240" w:lineRule="exact"/>
        <w:rPr>
          <w:b/>
          <w:i/>
          <w:sz w:val="18"/>
        </w:rPr>
      </w:pPr>
      <w:r>
        <w:rPr>
          <w:b/>
          <w:i/>
          <w:sz w:val="18"/>
        </w:rPr>
        <w:t>AVVERTENZE E PREREQUISITI</w:t>
      </w:r>
    </w:p>
    <w:p w:rsidR="00740DD2" w:rsidRPr="006A1A46" w:rsidRDefault="00740DD2" w:rsidP="00740DD2">
      <w:pPr>
        <w:pStyle w:val="Testo2"/>
        <w:rPr>
          <w:i/>
        </w:rPr>
      </w:pPr>
      <w:r w:rsidRPr="006A1A46">
        <w:rPr>
          <w:i/>
        </w:rPr>
        <w:t>Prerequisiti</w:t>
      </w:r>
    </w:p>
    <w:p w:rsidR="00740DD2" w:rsidRDefault="00740DD2" w:rsidP="00740DD2">
      <w:pPr>
        <w:pStyle w:val="Testo2"/>
      </w:pPr>
      <w:r>
        <w:t>Microeconomia,</w:t>
      </w:r>
      <w:r w:rsidRPr="00B661EB">
        <w:t xml:space="preserve"> macroeconomia</w:t>
      </w:r>
      <w:r>
        <w:t>, matematica.</w:t>
      </w:r>
    </w:p>
    <w:p w:rsidR="00740DD2" w:rsidRDefault="00740DD2" w:rsidP="00740DD2">
      <w:pPr>
        <w:pStyle w:val="Testo2"/>
      </w:pPr>
      <w:r>
        <w:t>I prerequisiti sono indispensabili per una adeguata comprensione delle lezioni. Gli studenti che fossero privi di tali conoscenze sono pregati di contattare il docente prima dell’inizio del corso. Si consiglia vivamente la frequenza, attraverso una partecipazione attiva alle lezioni.</w:t>
      </w:r>
    </w:p>
    <w:p w:rsidR="0002308E" w:rsidRPr="0002308E" w:rsidRDefault="0002308E" w:rsidP="0002308E">
      <w:pPr>
        <w:pStyle w:val="Testo2"/>
        <w:spacing w:before="120"/>
        <w:rPr>
          <w:i/>
        </w:rPr>
      </w:pPr>
      <w:r w:rsidRPr="0002308E">
        <w:rPr>
          <w:i/>
        </w:rPr>
        <w:t>Avvertenze</w:t>
      </w:r>
    </w:p>
    <w:p w:rsidR="0002308E" w:rsidRPr="0002308E" w:rsidRDefault="0002308E" w:rsidP="0002308E">
      <w:pPr>
        <w:pStyle w:val="Testo2"/>
      </w:pPr>
      <w:r w:rsidRPr="0002308E">
        <w:lastRenderedPageBreak/>
        <w:t>Nel caso in cui la situazione sanitaria relativa alla pandemia di Covid-19 non dovesse consentire la didattica in presenza, sarà garantita l’erogazione dell’insegnamento in distance learning con modalità che verranno comunicate in tempo utile agli studenti.</w:t>
      </w:r>
    </w:p>
    <w:p w:rsidR="0002308E" w:rsidRPr="00391993" w:rsidRDefault="0002308E" w:rsidP="00740DD2">
      <w:pPr>
        <w:pStyle w:val="Testo2"/>
        <w:rPr>
          <w:rStyle w:val="Enfasicorsivo"/>
          <w:i w:val="0"/>
          <w:iCs w:val="0"/>
        </w:rPr>
      </w:pPr>
    </w:p>
    <w:sectPr w:rsidR="0002308E" w:rsidRPr="003919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7" w:rsidRDefault="000F26A7" w:rsidP="000F26A7">
      <w:pPr>
        <w:spacing w:line="240" w:lineRule="auto"/>
      </w:pPr>
      <w:r>
        <w:separator/>
      </w:r>
    </w:p>
  </w:endnote>
  <w:endnote w:type="continuationSeparator" w:id="0">
    <w:p w:rsidR="000F26A7" w:rsidRDefault="000F26A7" w:rsidP="000F2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7" w:rsidRDefault="000F26A7" w:rsidP="000F26A7">
      <w:pPr>
        <w:spacing w:line="240" w:lineRule="auto"/>
      </w:pPr>
      <w:r>
        <w:separator/>
      </w:r>
    </w:p>
  </w:footnote>
  <w:footnote w:type="continuationSeparator" w:id="0">
    <w:p w:rsidR="000F26A7" w:rsidRDefault="000F26A7" w:rsidP="000F26A7">
      <w:pPr>
        <w:spacing w:line="240" w:lineRule="auto"/>
      </w:pPr>
      <w:r>
        <w:continuationSeparator/>
      </w:r>
    </w:p>
  </w:footnote>
  <w:footnote w:id="1">
    <w:p w:rsidR="000F26A7" w:rsidRDefault="000F26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A"/>
    <w:rsid w:val="0002308E"/>
    <w:rsid w:val="00094C50"/>
    <w:rsid w:val="000B508B"/>
    <w:rsid w:val="000F26A7"/>
    <w:rsid w:val="00187B99"/>
    <w:rsid w:val="001A7A43"/>
    <w:rsid w:val="002014DD"/>
    <w:rsid w:val="00284F1F"/>
    <w:rsid w:val="002D5E17"/>
    <w:rsid w:val="004D1217"/>
    <w:rsid w:val="004D6008"/>
    <w:rsid w:val="005000FC"/>
    <w:rsid w:val="00640794"/>
    <w:rsid w:val="006A1A46"/>
    <w:rsid w:val="006F1772"/>
    <w:rsid w:val="0071749A"/>
    <w:rsid w:val="00740DD2"/>
    <w:rsid w:val="007C69AA"/>
    <w:rsid w:val="008942E7"/>
    <w:rsid w:val="008A1204"/>
    <w:rsid w:val="00900CCA"/>
    <w:rsid w:val="00924B77"/>
    <w:rsid w:val="00940DA2"/>
    <w:rsid w:val="009E055C"/>
    <w:rsid w:val="00A74F6F"/>
    <w:rsid w:val="00AD7557"/>
    <w:rsid w:val="00B50C5D"/>
    <w:rsid w:val="00B51253"/>
    <w:rsid w:val="00B525CC"/>
    <w:rsid w:val="00D404F2"/>
    <w:rsid w:val="00E607E6"/>
    <w:rsid w:val="00EE0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0DD2"/>
    <w:pPr>
      <w:tabs>
        <w:tab w:val="clear" w:pos="284"/>
      </w:tabs>
      <w:spacing w:line="240" w:lineRule="auto"/>
      <w:ind w:left="720"/>
      <w:contextualSpacing/>
    </w:pPr>
    <w:rPr>
      <w:szCs w:val="20"/>
    </w:rPr>
  </w:style>
  <w:style w:type="character" w:styleId="Enfasicorsivo">
    <w:name w:val="Emphasis"/>
    <w:basedOn w:val="Carpredefinitoparagrafo"/>
    <w:qFormat/>
    <w:rsid w:val="00740DD2"/>
    <w:rPr>
      <w:i/>
      <w:iCs/>
    </w:rPr>
  </w:style>
  <w:style w:type="paragraph" w:styleId="Testonotaapidipagina">
    <w:name w:val="footnote text"/>
    <w:basedOn w:val="Normale"/>
    <w:link w:val="TestonotaapidipaginaCarattere"/>
    <w:semiHidden/>
    <w:unhideWhenUsed/>
    <w:rsid w:val="000F26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F26A7"/>
  </w:style>
  <w:style w:type="character" w:styleId="Rimandonotaapidipagina">
    <w:name w:val="footnote reference"/>
    <w:basedOn w:val="Carpredefinitoparagrafo"/>
    <w:semiHidden/>
    <w:unhideWhenUsed/>
    <w:rsid w:val="000F26A7"/>
    <w:rPr>
      <w:vertAlign w:val="superscript"/>
    </w:rPr>
  </w:style>
  <w:style w:type="character" w:styleId="Collegamentoipertestuale">
    <w:name w:val="Hyperlink"/>
    <w:basedOn w:val="Carpredefinitoparagrafo"/>
    <w:unhideWhenUsed/>
    <w:rsid w:val="000F26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0DD2"/>
    <w:pPr>
      <w:tabs>
        <w:tab w:val="clear" w:pos="284"/>
      </w:tabs>
      <w:spacing w:line="240" w:lineRule="auto"/>
      <w:ind w:left="720"/>
      <w:contextualSpacing/>
    </w:pPr>
    <w:rPr>
      <w:szCs w:val="20"/>
    </w:rPr>
  </w:style>
  <w:style w:type="character" w:styleId="Enfasicorsivo">
    <w:name w:val="Emphasis"/>
    <w:basedOn w:val="Carpredefinitoparagrafo"/>
    <w:qFormat/>
    <w:rsid w:val="00740DD2"/>
    <w:rPr>
      <w:i/>
      <w:iCs/>
    </w:rPr>
  </w:style>
  <w:style w:type="paragraph" w:styleId="Testonotaapidipagina">
    <w:name w:val="footnote text"/>
    <w:basedOn w:val="Normale"/>
    <w:link w:val="TestonotaapidipaginaCarattere"/>
    <w:semiHidden/>
    <w:unhideWhenUsed/>
    <w:rsid w:val="000F26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F26A7"/>
  </w:style>
  <w:style w:type="character" w:styleId="Rimandonotaapidipagina">
    <w:name w:val="footnote reference"/>
    <w:basedOn w:val="Carpredefinitoparagrafo"/>
    <w:semiHidden/>
    <w:unhideWhenUsed/>
    <w:rsid w:val="000F26A7"/>
    <w:rPr>
      <w:vertAlign w:val="superscript"/>
    </w:rPr>
  </w:style>
  <w:style w:type="character" w:styleId="Collegamentoipertestuale">
    <w:name w:val="Hyperlink"/>
    <w:basedOn w:val="Carpredefinitoparagrafo"/>
    <w:unhideWhenUsed/>
    <w:rsid w:val="000F2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krugman-obstfeld/international-economics-theory-and-policy-9781292214870-560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6F5D-335A-4518-BA90-4B60E769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585</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2020-04-30T07:13:00Z</dcterms:created>
  <dcterms:modified xsi:type="dcterms:W3CDTF">2020-07-14T12:58:00Z</dcterms:modified>
</cp:coreProperties>
</file>