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B3" w:rsidRDefault="003639B3" w:rsidP="003C08FF">
      <w:pPr>
        <w:pStyle w:val="Titolo1"/>
        <w:rPr>
          <w:lang w:val="en-US"/>
        </w:rPr>
      </w:pPr>
      <w:r w:rsidRPr="00D92EAA">
        <w:rPr>
          <w:lang w:val="en-US"/>
        </w:rPr>
        <w:t xml:space="preserve">International </w:t>
      </w:r>
      <w:r w:rsidR="00D1216F">
        <w:rPr>
          <w:lang w:val="en-US"/>
        </w:rPr>
        <w:t>C</w:t>
      </w:r>
      <w:r w:rsidRPr="00D92EAA">
        <w:rPr>
          <w:lang w:val="en-US"/>
        </w:rPr>
        <w:t xml:space="preserve">orporate </w:t>
      </w:r>
      <w:r w:rsidR="00D1216F">
        <w:rPr>
          <w:lang w:val="en-US"/>
        </w:rPr>
        <w:t>F</w:t>
      </w:r>
      <w:r w:rsidRPr="00D92EAA">
        <w:rPr>
          <w:lang w:val="en-US"/>
        </w:rPr>
        <w:t>inance</w:t>
      </w:r>
    </w:p>
    <w:p w:rsidR="003639B3" w:rsidRPr="00013922" w:rsidRDefault="003639B3" w:rsidP="003C08FF">
      <w:pPr>
        <w:pStyle w:val="Titolo2"/>
        <w:rPr>
          <w:lang w:val="en-US"/>
        </w:rPr>
      </w:pPr>
      <w:r w:rsidRPr="00013922">
        <w:rPr>
          <w:lang w:val="en-US"/>
        </w:rPr>
        <w:t>Prof. Silvia Rigamonti</w:t>
      </w:r>
    </w:p>
    <w:p w:rsidR="003639B3" w:rsidRPr="00B711B1" w:rsidRDefault="003639B3" w:rsidP="003C08FF">
      <w:pPr>
        <w:spacing w:before="240" w:after="120"/>
        <w:rPr>
          <w:b/>
          <w:bCs/>
          <w:i/>
          <w:iCs/>
          <w:sz w:val="18"/>
          <w:szCs w:val="18"/>
          <w:lang w:val="en-US"/>
        </w:rPr>
      </w:pPr>
      <w:r w:rsidRPr="00E65E7D">
        <w:rPr>
          <w:b/>
          <w:bCs/>
          <w:i/>
          <w:iCs/>
          <w:sz w:val="18"/>
          <w:szCs w:val="18"/>
          <w:lang w:val="en-GB"/>
        </w:rPr>
        <w:t>COURSE AIMS</w:t>
      </w:r>
      <w:r w:rsidR="000E67E0">
        <w:rPr>
          <w:b/>
          <w:bCs/>
          <w:i/>
          <w:iCs/>
          <w:sz w:val="18"/>
          <w:szCs w:val="18"/>
          <w:lang w:val="en-GB"/>
        </w:rPr>
        <w:t xml:space="preserve"> AND </w:t>
      </w:r>
      <w:r w:rsidR="00612DF0">
        <w:rPr>
          <w:b/>
          <w:bCs/>
          <w:i/>
          <w:iCs/>
          <w:sz w:val="18"/>
          <w:szCs w:val="18"/>
          <w:lang w:val="en-GB"/>
        </w:rPr>
        <w:t>INTENDED</w:t>
      </w:r>
      <w:r w:rsidR="00B711B1" w:rsidRPr="00B711B1">
        <w:rPr>
          <w:b/>
          <w:bCs/>
          <w:i/>
          <w:iCs/>
          <w:sz w:val="18"/>
          <w:szCs w:val="18"/>
          <w:lang w:val="en-GB"/>
        </w:rPr>
        <w:t xml:space="preserve"> LEARNING OUTCOMES</w:t>
      </w:r>
    </w:p>
    <w:p w:rsidR="00D1216F" w:rsidRDefault="003639B3" w:rsidP="003C08FF">
      <w:pPr>
        <w:rPr>
          <w:szCs w:val="20"/>
          <w:lang w:val="en-US"/>
        </w:rPr>
      </w:pPr>
      <w:r w:rsidRPr="00013922">
        <w:rPr>
          <w:szCs w:val="20"/>
          <w:lang w:val="en-US"/>
        </w:rPr>
        <w:t xml:space="preserve">International finance has been evolving fast due to deregulation of financial markets, product innovations, and technological advancements. As capital and product markets are becoming more integrated, firms are growing increasingly global. This course addresses corporate finance issues relevant for international companies. </w:t>
      </w:r>
    </w:p>
    <w:p w:rsidR="000E67E0" w:rsidRDefault="00D1216F" w:rsidP="003C08FF">
      <w:pPr>
        <w:rPr>
          <w:szCs w:val="20"/>
          <w:lang w:val="en-US"/>
        </w:rPr>
      </w:pPr>
      <w:r>
        <w:rPr>
          <w:szCs w:val="20"/>
          <w:lang w:val="en-US"/>
        </w:rPr>
        <w:t>At</w:t>
      </w:r>
      <w:r w:rsidR="000E67E0">
        <w:rPr>
          <w:szCs w:val="20"/>
          <w:lang w:val="en-US"/>
        </w:rPr>
        <w:t xml:space="preserve"> the end of this course, students:</w:t>
      </w:r>
    </w:p>
    <w:p w:rsidR="00D1216F" w:rsidRPr="000E67E0" w:rsidRDefault="00D1216F" w:rsidP="003C08FF">
      <w:pPr>
        <w:pStyle w:val="Paragrafoelenco"/>
        <w:numPr>
          <w:ilvl w:val="0"/>
          <w:numId w:val="1"/>
        </w:numPr>
        <w:rPr>
          <w:szCs w:val="20"/>
          <w:lang w:val="en-US"/>
        </w:rPr>
      </w:pPr>
      <w:r>
        <w:rPr>
          <w:szCs w:val="20"/>
          <w:lang w:val="en-US"/>
        </w:rPr>
        <w:t>w</w:t>
      </w:r>
      <w:r w:rsidRPr="00D1216F">
        <w:rPr>
          <w:szCs w:val="20"/>
          <w:lang w:val="en-US"/>
        </w:rPr>
        <w:t xml:space="preserve">ill know the </w:t>
      </w:r>
      <w:r w:rsidRPr="00D1216F">
        <w:rPr>
          <w:lang w:val="en-US"/>
        </w:rPr>
        <w:t xml:space="preserve">main features of multinational </w:t>
      </w:r>
      <w:r>
        <w:rPr>
          <w:lang w:val="en-US"/>
        </w:rPr>
        <w:t>corporations</w:t>
      </w:r>
      <w:r w:rsidRPr="00D1216F">
        <w:rPr>
          <w:lang w:val="en-US"/>
        </w:rPr>
        <w:t xml:space="preserve">; </w:t>
      </w:r>
      <w:r>
        <w:rPr>
          <w:lang w:val="en-US"/>
        </w:rPr>
        <w:t xml:space="preserve">the various types of foreign exchange risk; </w:t>
      </w:r>
      <w:r w:rsidR="00560233">
        <w:rPr>
          <w:lang w:val="en-US"/>
        </w:rPr>
        <w:t xml:space="preserve">the </w:t>
      </w:r>
      <w:r w:rsidRPr="00D1216F">
        <w:rPr>
          <w:lang w:val="en-US"/>
        </w:rPr>
        <w:t xml:space="preserve">key hedging techniques applicable to </w:t>
      </w:r>
      <w:r>
        <w:rPr>
          <w:lang w:val="en-US"/>
        </w:rPr>
        <w:t>foreign exchange</w:t>
      </w:r>
      <w:r w:rsidRPr="00D1216F">
        <w:rPr>
          <w:lang w:val="en-US"/>
        </w:rPr>
        <w:t xml:space="preserve"> risk of international </w:t>
      </w:r>
      <w:r>
        <w:rPr>
          <w:lang w:val="en-US"/>
        </w:rPr>
        <w:t>companies</w:t>
      </w:r>
      <w:r w:rsidRPr="00D1216F">
        <w:rPr>
          <w:lang w:val="en-US"/>
        </w:rPr>
        <w:t xml:space="preserve">; the logic and the mechanism </w:t>
      </w:r>
      <w:r>
        <w:rPr>
          <w:lang w:val="en-US"/>
        </w:rPr>
        <w:t>of corporate investment and financing decisions in an international setting;</w:t>
      </w:r>
    </w:p>
    <w:p w:rsidR="000E67E0" w:rsidRDefault="00D1216F" w:rsidP="003C08FF">
      <w:pPr>
        <w:pStyle w:val="Paragrafoelenco"/>
        <w:numPr>
          <w:ilvl w:val="0"/>
          <w:numId w:val="1"/>
        </w:numPr>
        <w:rPr>
          <w:szCs w:val="20"/>
          <w:lang w:val="en-US"/>
        </w:rPr>
      </w:pPr>
      <w:r>
        <w:rPr>
          <w:szCs w:val="20"/>
          <w:lang w:val="en-US"/>
        </w:rPr>
        <w:t>will be able to</w:t>
      </w:r>
      <w:r w:rsidR="000E67E0" w:rsidRPr="00D1216F">
        <w:rPr>
          <w:szCs w:val="20"/>
          <w:lang w:val="en-US"/>
        </w:rPr>
        <w:t xml:space="preserve"> apply their knowledge and understanding, and problem solving abilities</w:t>
      </w:r>
      <w:r w:rsidRPr="00D1216F">
        <w:rPr>
          <w:szCs w:val="20"/>
          <w:lang w:val="en-US"/>
        </w:rPr>
        <w:t xml:space="preserve"> related to the management of exchange rate risk </w:t>
      </w:r>
      <w:r>
        <w:rPr>
          <w:szCs w:val="20"/>
          <w:lang w:val="en-US"/>
        </w:rPr>
        <w:t xml:space="preserve">exposure and to the appraisal of investment and financing decisions in multinational firms; </w:t>
      </w:r>
    </w:p>
    <w:p w:rsidR="003C08FF" w:rsidRDefault="003C08FF" w:rsidP="003C08FF">
      <w:pPr>
        <w:pStyle w:val="Paragrafoelenco"/>
        <w:numPr>
          <w:ilvl w:val="0"/>
          <w:numId w:val="1"/>
        </w:numPr>
        <w:shd w:val="clear" w:color="auto" w:fill="FFFFFF"/>
        <w:rPr>
          <w:szCs w:val="20"/>
          <w:lang w:val="en-US"/>
        </w:rPr>
      </w:pPr>
      <w:r w:rsidRPr="003C08FF">
        <w:rPr>
          <w:szCs w:val="20"/>
          <w:lang w:val="en-US"/>
        </w:rPr>
        <w:t xml:space="preserve">will be able to collect and </w:t>
      </w:r>
      <w:r w:rsidR="00DD1182" w:rsidRPr="003C08FF">
        <w:rPr>
          <w:szCs w:val="20"/>
          <w:lang w:val="en-US"/>
        </w:rPr>
        <w:t>analyze market</w:t>
      </w:r>
      <w:r w:rsidRPr="003C08FF">
        <w:rPr>
          <w:szCs w:val="20"/>
          <w:lang w:val="en-US"/>
        </w:rPr>
        <w:t xml:space="preserve"> as well as company</w:t>
      </w:r>
      <w:r w:rsidR="00DD1182" w:rsidRPr="003C08FF">
        <w:rPr>
          <w:szCs w:val="20"/>
          <w:lang w:val="en-US"/>
        </w:rPr>
        <w:t xml:space="preserve"> data in order to </w:t>
      </w:r>
      <w:r w:rsidR="00D1216F" w:rsidRPr="003C08FF">
        <w:rPr>
          <w:szCs w:val="20"/>
          <w:lang w:val="en-US"/>
        </w:rPr>
        <w:t xml:space="preserve">make judgments on </w:t>
      </w:r>
      <w:r w:rsidR="00DD1182" w:rsidRPr="003C08FF">
        <w:rPr>
          <w:szCs w:val="20"/>
          <w:lang w:val="en-US"/>
        </w:rPr>
        <w:t>financial management’s</w:t>
      </w:r>
      <w:r w:rsidR="00D1216F" w:rsidRPr="003C08FF">
        <w:rPr>
          <w:szCs w:val="20"/>
          <w:lang w:val="en-US"/>
        </w:rPr>
        <w:t xml:space="preserve"> issues for multinational corporations;</w:t>
      </w:r>
    </w:p>
    <w:p w:rsidR="00D1216F" w:rsidRPr="003C08FF" w:rsidRDefault="00D1216F" w:rsidP="003C08FF">
      <w:pPr>
        <w:pStyle w:val="Paragrafoelenco"/>
        <w:numPr>
          <w:ilvl w:val="0"/>
          <w:numId w:val="1"/>
        </w:numPr>
        <w:shd w:val="clear" w:color="auto" w:fill="FFFFFF"/>
        <w:rPr>
          <w:szCs w:val="20"/>
          <w:lang w:val="en-US"/>
        </w:rPr>
      </w:pPr>
      <w:r w:rsidRPr="003C08FF">
        <w:rPr>
          <w:lang w:val="en-US"/>
        </w:rPr>
        <w:t xml:space="preserve">will </w:t>
      </w:r>
      <w:r w:rsidR="003C08FF" w:rsidRPr="003C08FF">
        <w:rPr>
          <w:lang w:val="en-US"/>
        </w:rPr>
        <w:t>be a</w:t>
      </w:r>
      <w:r w:rsidR="003C08FF" w:rsidRPr="003C08FF">
        <w:rPr>
          <w:szCs w:val="20"/>
          <w:lang w:val="en-US"/>
        </w:rPr>
        <w:t xml:space="preserve">ble to communicate </w:t>
      </w:r>
      <w:r w:rsidR="003C08FF">
        <w:rPr>
          <w:szCs w:val="20"/>
          <w:lang w:val="en-US"/>
        </w:rPr>
        <w:t xml:space="preserve">in a proper manner </w:t>
      </w:r>
      <w:r w:rsidR="003C08FF" w:rsidRPr="003C08FF">
        <w:rPr>
          <w:szCs w:val="20"/>
          <w:lang w:val="en-US"/>
        </w:rPr>
        <w:t xml:space="preserve">conclusions, results, study outcomes and knowledge to specialist audiences </w:t>
      </w:r>
      <w:r w:rsidR="00D81A4F">
        <w:rPr>
          <w:szCs w:val="20"/>
          <w:lang w:val="en-US"/>
        </w:rPr>
        <w:t>from</w:t>
      </w:r>
      <w:r w:rsidR="003C08FF" w:rsidRPr="003C08FF">
        <w:rPr>
          <w:szCs w:val="20"/>
          <w:lang w:val="en-US"/>
        </w:rPr>
        <w:t xml:space="preserve"> the business</w:t>
      </w:r>
      <w:r w:rsidRPr="003C08FF">
        <w:rPr>
          <w:lang w:val="en-US"/>
        </w:rPr>
        <w:t>;</w:t>
      </w:r>
    </w:p>
    <w:p w:rsidR="000E67E0" w:rsidRPr="00D1216F" w:rsidRDefault="00D1216F" w:rsidP="003C08FF">
      <w:pPr>
        <w:pStyle w:val="Paragrafoelenco"/>
        <w:numPr>
          <w:ilvl w:val="0"/>
          <w:numId w:val="1"/>
        </w:numPr>
        <w:rPr>
          <w:szCs w:val="20"/>
          <w:lang w:val="en-US"/>
        </w:rPr>
      </w:pPr>
      <w:r w:rsidRPr="00D1216F">
        <w:rPr>
          <w:lang w:val="en-US"/>
        </w:rPr>
        <w:t xml:space="preserve">will learn </w:t>
      </w:r>
      <w:r w:rsidRPr="00D1216F">
        <w:rPr>
          <w:szCs w:val="20"/>
          <w:lang w:val="en-US"/>
        </w:rPr>
        <w:t>the principles and the tools to make sound international financial decisions and to manage the risks that firms are required to face in a competitive global environment.</w:t>
      </w:r>
    </w:p>
    <w:p w:rsidR="003639B3" w:rsidRDefault="003639B3" w:rsidP="003C08FF">
      <w:pPr>
        <w:spacing w:before="240" w:after="120"/>
        <w:rPr>
          <w:b/>
          <w:bCs/>
          <w:i/>
          <w:iCs/>
          <w:sz w:val="18"/>
          <w:szCs w:val="18"/>
          <w:lang w:val="en-GB"/>
        </w:rPr>
      </w:pPr>
      <w:r w:rsidRPr="00E65E7D">
        <w:rPr>
          <w:b/>
          <w:bCs/>
          <w:i/>
          <w:iCs/>
          <w:sz w:val="18"/>
          <w:szCs w:val="18"/>
          <w:lang w:val="en-GB"/>
        </w:rPr>
        <w:t>COURSE CONTENT</w:t>
      </w:r>
    </w:p>
    <w:p w:rsidR="003639B3" w:rsidRPr="00013922" w:rsidRDefault="003639B3" w:rsidP="003C08FF">
      <w:pPr>
        <w:rPr>
          <w:szCs w:val="20"/>
          <w:lang w:val="en-US"/>
        </w:rPr>
      </w:pPr>
      <w:r w:rsidRPr="00013922">
        <w:rPr>
          <w:szCs w:val="20"/>
          <w:lang w:val="en-US"/>
        </w:rPr>
        <w:t>1.</w:t>
      </w:r>
      <w:r w:rsidRPr="00013922">
        <w:rPr>
          <w:szCs w:val="20"/>
          <w:lang w:val="en-US"/>
        </w:rPr>
        <w:tab/>
      </w:r>
      <w:r w:rsidRPr="00013922">
        <w:rPr>
          <w:i/>
          <w:szCs w:val="20"/>
          <w:lang w:val="en-US"/>
        </w:rPr>
        <w:t>Foreign Exchange Risk Management</w:t>
      </w:r>
    </w:p>
    <w:p w:rsidR="003639B3" w:rsidRPr="00013922" w:rsidRDefault="003639B3" w:rsidP="003C08FF">
      <w:pPr>
        <w:ind w:left="284"/>
        <w:rPr>
          <w:szCs w:val="20"/>
          <w:lang w:val="en-US"/>
        </w:rPr>
      </w:pPr>
      <w:r w:rsidRPr="00013922">
        <w:rPr>
          <w:szCs w:val="20"/>
          <w:lang w:val="en-US"/>
        </w:rPr>
        <w:t>International Monetary System. The Market for Foreign Exchange. Exchange rate and international parity relations. Futures and Options on Foreign Exchange. Foreign exchange exposure. Measuring and managing foreign exchange exposure.</w:t>
      </w:r>
    </w:p>
    <w:p w:rsidR="003639B3" w:rsidRPr="00013922" w:rsidRDefault="003639B3" w:rsidP="003C08FF">
      <w:pPr>
        <w:rPr>
          <w:szCs w:val="20"/>
          <w:lang w:val="en-US"/>
        </w:rPr>
      </w:pPr>
      <w:r w:rsidRPr="00013922">
        <w:rPr>
          <w:szCs w:val="20"/>
          <w:lang w:val="en-US"/>
        </w:rPr>
        <w:t>2.</w:t>
      </w:r>
      <w:r w:rsidRPr="00013922">
        <w:rPr>
          <w:szCs w:val="20"/>
          <w:lang w:val="en-US"/>
        </w:rPr>
        <w:tab/>
      </w:r>
      <w:r w:rsidRPr="00013922">
        <w:rPr>
          <w:i/>
          <w:szCs w:val="20"/>
          <w:lang w:val="en-US"/>
        </w:rPr>
        <w:t>Multinational firms and foreign direct investments</w:t>
      </w:r>
    </w:p>
    <w:p w:rsidR="003639B3" w:rsidRPr="00013922" w:rsidRDefault="003639B3" w:rsidP="003C08FF">
      <w:pPr>
        <w:ind w:left="284"/>
        <w:rPr>
          <w:szCs w:val="20"/>
          <w:lang w:val="en-US"/>
        </w:rPr>
      </w:pPr>
      <w:r w:rsidRPr="00013922">
        <w:rPr>
          <w:szCs w:val="20"/>
          <w:lang w:val="en-US"/>
        </w:rPr>
        <w:t>Greenfield investments. Cross-border M&amp;A. International capital budgeting. Valuing foreign firms.</w:t>
      </w:r>
    </w:p>
    <w:p w:rsidR="003639B3" w:rsidRPr="00013922" w:rsidRDefault="003639B3" w:rsidP="003C08FF">
      <w:pPr>
        <w:rPr>
          <w:szCs w:val="20"/>
          <w:lang w:val="en-US"/>
        </w:rPr>
      </w:pPr>
      <w:r w:rsidRPr="00013922">
        <w:rPr>
          <w:szCs w:val="20"/>
          <w:lang w:val="en-US"/>
        </w:rPr>
        <w:lastRenderedPageBreak/>
        <w:t>3.</w:t>
      </w:r>
      <w:r w:rsidRPr="00013922">
        <w:rPr>
          <w:szCs w:val="20"/>
          <w:lang w:val="en-US"/>
        </w:rPr>
        <w:tab/>
      </w:r>
      <w:r w:rsidRPr="00013922">
        <w:rPr>
          <w:i/>
          <w:szCs w:val="20"/>
          <w:lang w:val="en-US"/>
        </w:rPr>
        <w:t>International capital structure and international financing</w:t>
      </w:r>
    </w:p>
    <w:p w:rsidR="003639B3" w:rsidRPr="003639B3" w:rsidRDefault="003639B3" w:rsidP="003C08FF">
      <w:pPr>
        <w:ind w:left="284"/>
        <w:rPr>
          <w:szCs w:val="20"/>
          <w:lang w:val="en-US"/>
        </w:rPr>
      </w:pPr>
      <w:r w:rsidRPr="00013922">
        <w:rPr>
          <w:szCs w:val="20"/>
          <w:lang w:val="en-US"/>
        </w:rPr>
        <w:t xml:space="preserve">How multinational firms establish their capital structure. The cost of capital for multinational firms. International </w:t>
      </w:r>
      <w:r>
        <w:rPr>
          <w:szCs w:val="20"/>
          <w:lang w:val="en-US"/>
        </w:rPr>
        <w:t xml:space="preserve">equity and </w:t>
      </w:r>
      <w:r w:rsidRPr="00013922">
        <w:rPr>
          <w:szCs w:val="20"/>
          <w:lang w:val="en-US"/>
        </w:rPr>
        <w:t>debt financing.</w:t>
      </w:r>
    </w:p>
    <w:p w:rsidR="003639B3" w:rsidRDefault="003639B3" w:rsidP="003C08FF">
      <w:pPr>
        <w:spacing w:before="240" w:after="120"/>
        <w:rPr>
          <w:b/>
          <w:bCs/>
          <w:i/>
          <w:iCs/>
          <w:sz w:val="18"/>
          <w:szCs w:val="18"/>
          <w:lang w:val="en-GB"/>
        </w:rPr>
      </w:pPr>
      <w:r w:rsidRPr="00E65E7D">
        <w:rPr>
          <w:b/>
          <w:bCs/>
          <w:i/>
          <w:iCs/>
          <w:sz w:val="18"/>
          <w:szCs w:val="18"/>
          <w:lang w:val="en-GB"/>
        </w:rPr>
        <w:t>READING LIST</w:t>
      </w:r>
      <w:r w:rsidR="0096608A">
        <w:rPr>
          <w:rStyle w:val="Rimandonotaapidipagina"/>
          <w:b/>
          <w:bCs/>
          <w:i/>
          <w:iCs/>
          <w:sz w:val="18"/>
          <w:szCs w:val="18"/>
          <w:lang w:val="en-GB"/>
        </w:rPr>
        <w:footnoteReference w:id="1"/>
      </w:r>
    </w:p>
    <w:p w:rsidR="003639B3" w:rsidRPr="00D1216F" w:rsidRDefault="003639B3" w:rsidP="003C08FF">
      <w:pPr>
        <w:pStyle w:val="Testo1"/>
        <w:spacing w:line="240" w:lineRule="exact"/>
        <w:rPr>
          <w:rFonts w:ascii="Times New Roman" w:hAnsi="Times New Roman"/>
          <w:noProof w:val="0"/>
          <w:sz w:val="20"/>
          <w:lang w:val="en-US"/>
        </w:rPr>
      </w:pPr>
      <w:r w:rsidRPr="00D1216F">
        <w:rPr>
          <w:rFonts w:ascii="Times New Roman" w:hAnsi="Times New Roman"/>
          <w:noProof w:val="0"/>
          <w:sz w:val="20"/>
          <w:lang w:val="en-US"/>
        </w:rPr>
        <w:t>The required textbook for the course is:</w:t>
      </w:r>
    </w:p>
    <w:p w:rsidR="00D1216F" w:rsidRPr="00D1216F" w:rsidRDefault="00D1216F" w:rsidP="003C08FF">
      <w:pPr>
        <w:pStyle w:val="Testo1"/>
        <w:spacing w:before="0" w:line="240" w:lineRule="exact"/>
        <w:ind w:left="288" w:hanging="288"/>
        <w:rPr>
          <w:rFonts w:ascii="Times New Roman" w:eastAsiaTheme="minorHAnsi" w:hAnsi="Times New Roman"/>
          <w:noProof w:val="0"/>
          <w:sz w:val="20"/>
          <w:lang w:val="en-US" w:eastAsia="en-US"/>
        </w:rPr>
      </w:pPr>
      <w:r w:rsidRPr="00D1216F">
        <w:rPr>
          <w:rFonts w:ascii="Times New Roman" w:eastAsiaTheme="minorHAnsi" w:hAnsi="Times New Roman"/>
          <w:noProof w:val="0"/>
          <w:sz w:val="20"/>
          <w:lang w:val="en-US" w:eastAsia="en-US"/>
        </w:rPr>
        <w:t xml:space="preserve">C.S. </w:t>
      </w:r>
      <w:proofErr w:type="spellStart"/>
      <w:r w:rsidRPr="00D1216F">
        <w:rPr>
          <w:rFonts w:ascii="Times New Roman" w:eastAsiaTheme="minorHAnsi" w:hAnsi="Times New Roman"/>
          <w:noProof w:val="0"/>
          <w:sz w:val="20"/>
          <w:lang w:val="en-US" w:eastAsia="en-US"/>
        </w:rPr>
        <w:t>Eun</w:t>
      </w:r>
      <w:proofErr w:type="spellEnd"/>
      <w:r w:rsidRPr="00D1216F">
        <w:rPr>
          <w:rFonts w:ascii="Times New Roman" w:eastAsiaTheme="minorHAnsi" w:hAnsi="Times New Roman"/>
          <w:noProof w:val="0"/>
          <w:sz w:val="20"/>
          <w:lang w:val="en-US" w:eastAsia="en-US"/>
        </w:rPr>
        <w:t xml:space="preserve">-B.G. </w:t>
      </w:r>
      <w:proofErr w:type="spellStart"/>
      <w:r w:rsidRPr="00D1216F">
        <w:rPr>
          <w:rFonts w:ascii="Times New Roman" w:eastAsiaTheme="minorHAnsi" w:hAnsi="Times New Roman"/>
          <w:noProof w:val="0"/>
          <w:sz w:val="20"/>
          <w:lang w:val="en-US" w:eastAsia="en-US"/>
        </w:rPr>
        <w:t>Resnik</w:t>
      </w:r>
      <w:proofErr w:type="spellEnd"/>
      <w:r w:rsidRPr="00D1216F">
        <w:rPr>
          <w:rFonts w:ascii="Times New Roman" w:eastAsiaTheme="minorHAnsi" w:hAnsi="Times New Roman"/>
          <w:i/>
          <w:noProof w:val="0"/>
          <w:sz w:val="20"/>
          <w:lang w:val="en-US" w:eastAsia="en-US"/>
        </w:rPr>
        <w:t>, International Financial Management</w:t>
      </w:r>
      <w:r w:rsidRPr="00D1216F">
        <w:rPr>
          <w:sz w:val="20"/>
          <w:lang w:val="en-US"/>
        </w:rPr>
        <w:t xml:space="preserve">, </w:t>
      </w:r>
      <w:r w:rsidRPr="00D1216F">
        <w:rPr>
          <w:rFonts w:ascii="Times New Roman" w:eastAsiaTheme="minorHAnsi" w:hAnsi="Times New Roman"/>
          <w:noProof w:val="0"/>
          <w:sz w:val="20"/>
          <w:lang w:val="en-US" w:eastAsia="en-US"/>
        </w:rPr>
        <w:t>8th Edition, McGraw Hill, 2017.</w:t>
      </w:r>
    </w:p>
    <w:p w:rsidR="003639B3" w:rsidRPr="00D1216F" w:rsidRDefault="003639B3" w:rsidP="003C08FF">
      <w:pPr>
        <w:pStyle w:val="Testo1"/>
        <w:spacing w:line="240" w:lineRule="exact"/>
        <w:rPr>
          <w:rFonts w:ascii="Times New Roman" w:hAnsi="Times New Roman"/>
          <w:noProof w:val="0"/>
          <w:sz w:val="20"/>
          <w:lang w:val="en-US"/>
        </w:rPr>
      </w:pPr>
      <w:r w:rsidRPr="00D1216F">
        <w:rPr>
          <w:rFonts w:ascii="Times New Roman" w:hAnsi="Times New Roman"/>
          <w:noProof w:val="0"/>
          <w:sz w:val="20"/>
          <w:lang w:val="en-US"/>
        </w:rPr>
        <w:t>Additional teaching material such as notes, cases, casual readings provided throughout the course will be posted on Blackboard.</w:t>
      </w:r>
    </w:p>
    <w:p w:rsidR="003639B3" w:rsidRPr="00D1216F" w:rsidRDefault="003639B3" w:rsidP="003C08FF">
      <w:pPr>
        <w:spacing w:before="240" w:after="120"/>
        <w:rPr>
          <w:b/>
          <w:bCs/>
          <w:i/>
          <w:iCs/>
          <w:sz w:val="18"/>
          <w:szCs w:val="18"/>
          <w:lang w:val="en-GB"/>
        </w:rPr>
      </w:pPr>
      <w:r w:rsidRPr="00D1216F">
        <w:rPr>
          <w:b/>
          <w:bCs/>
          <w:i/>
          <w:iCs/>
          <w:sz w:val="18"/>
          <w:szCs w:val="18"/>
          <w:lang w:val="en-GB"/>
        </w:rPr>
        <w:t>TEACHING METHOD</w:t>
      </w:r>
    </w:p>
    <w:p w:rsidR="003639B3" w:rsidRPr="00D1216F" w:rsidRDefault="003639B3" w:rsidP="003C08FF">
      <w:pPr>
        <w:pStyle w:val="Testo2"/>
        <w:spacing w:line="240" w:lineRule="exact"/>
        <w:ind w:firstLine="288"/>
        <w:rPr>
          <w:rFonts w:ascii="Times New Roman" w:hAnsi="Times New Roman"/>
          <w:noProof w:val="0"/>
          <w:sz w:val="20"/>
          <w:lang w:val="en-US"/>
        </w:rPr>
      </w:pPr>
      <w:r w:rsidRPr="00D1216F">
        <w:rPr>
          <w:rFonts w:ascii="Times New Roman" w:hAnsi="Times New Roman"/>
          <w:noProof w:val="0"/>
          <w:sz w:val="20"/>
          <w:lang w:val="en-US"/>
        </w:rPr>
        <w:t>The course is mainl</w:t>
      </w:r>
      <w:r w:rsidR="00612DF0">
        <w:rPr>
          <w:rFonts w:ascii="Times New Roman" w:hAnsi="Times New Roman"/>
          <w:noProof w:val="0"/>
          <w:sz w:val="20"/>
          <w:lang w:val="en-US"/>
        </w:rPr>
        <w:t xml:space="preserve">y taught with presentations. There will be </w:t>
      </w:r>
      <w:r w:rsidRPr="00D1216F">
        <w:rPr>
          <w:rFonts w:ascii="Times New Roman" w:hAnsi="Times New Roman"/>
          <w:noProof w:val="0"/>
          <w:sz w:val="20"/>
          <w:lang w:val="en-US"/>
        </w:rPr>
        <w:t>in-class</w:t>
      </w:r>
      <w:r w:rsidR="0026544D">
        <w:rPr>
          <w:rFonts w:ascii="Times New Roman" w:hAnsi="Times New Roman"/>
          <w:noProof w:val="0"/>
          <w:sz w:val="20"/>
          <w:lang w:val="en-US"/>
        </w:rPr>
        <w:t xml:space="preserve"> as well as </w:t>
      </w:r>
      <w:r w:rsidR="00612DF0">
        <w:rPr>
          <w:rFonts w:ascii="Times New Roman" w:hAnsi="Times New Roman"/>
          <w:noProof w:val="0"/>
          <w:sz w:val="20"/>
          <w:lang w:val="en-US"/>
        </w:rPr>
        <w:t>take-home</w:t>
      </w:r>
      <w:r w:rsidRPr="00D1216F">
        <w:rPr>
          <w:rFonts w:ascii="Times New Roman" w:hAnsi="Times New Roman"/>
          <w:noProof w:val="0"/>
          <w:sz w:val="20"/>
          <w:lang w:val="en-US"/>
        </w:rPr>
        <w:t xml:space="preserve"> exercises.</w:t>
      </w:r>
      <w:r w:rsidR="00D1216F">
        <w:rPr>
          <w:rFonts w:ascii="Times New Roman" w:hAnsi="Times New Roman"/>
          <w:noProof w:val="0"/>
          <w:sz w:val="20"/>
          <w:lang w:val="en-US"/>
        </w:rPr>
        <w:t xml:space="preserve"> Case studies will also be used and will be presented and</w:t>
      </w:r>
      <w:r w:rsidR="00560233">
        <w:rPr>
          <w:rFonts w:ascii="Times New Roman" w:hAnsi="Times New Roman"/>
          <w:noProof w:val="0"/>
          <w:sz w:val="20"/>
          <w:lang w:val="en-US"/>
        </w:rPr>
        <w:t>/or</w:t>
      </w:r>
      <w:r w:rsidR="00D1216F">
        <w:rPr>
          <w:rFonts w:ascii="Times New Roman" w:hAnsi="Times New Roman"/>
          <w:noProof w:val="0"/>
          <w:sz w:val="20"/>
          <w:lang w:val="en-US"/>
        </w:rPr>
        <w:t xml:space="preserve"> discussed by students. </w:t>
      </w:r>
    </w:p>
    <w:p w:rsidR="003639B3" w:rsidRPr="00D1216F" w:rsidRDefault="003639B3" w:rsidP="003C08FF">
      <w:pPr>
        <w:spacing w:before="240" w:after="120"/>
        <w:rPr>
          <w:b/>
          <w:bCs/>
          <w:i/>
          <w:iCs/>
          <w:sz w:val="18"/>
          <w:szCs w:val="18"/>
          <w:lang w:val="en-GB"/>
        </w:rPr>
      </w:pPr>
      <w:r w:rsidRPr="00D1216F">
        <w:rPr>
          <w:b/>
          <w:bCs/>
          <w:i/>
          <w:iCs/>
          <w:sz w:val="18"/>
          <w:szCs w:val="18"/>
          <w:lang w:val="en-GB"/>
        </w:rPr>
        <w:t>ASSESSMENT METHOD</w:t>
      </w:r>
      <w:r w:rsidR="00B711B1" w:rsidRPr="00B711B1">
        <w:rPr>
          <w:b/>
          <w:bCs/>
          <w:i/>
          <w:iCs/>
          <w:sz w:val="18"/>
          <w:szCs w:val="18"/>
          <w:lang w:val="en-GB"/>
        </w:rPr>
        <w:t xml:space="preserve"> AND CRITERIA</w:t>
      </w:r>
      <w:r w:rsidR="00B711B1" w:rsidRPr="00612DF0">
        <w:rPr>
          <w:b/>
          <w:sz w:val="24"/>
          <w:lang w:val="en-US"/>
        </w:rPr>
        <w:t xml:space="preserve">  </w:t>
      </w:r>
    </w:p>
    <w:p w:rsidR="00D1216F" w:rsidRPr="003C08FF" w:rsidRDefault="00D1216F" w:rsidP="003C08FF">
      <w:pPr>
        <w:pStyle w:val="Testo2"/>
        <w:spacing w:line="240" w:lineRule="exact"/>
        <w:ind w:firstLine="288"/>
        <w:rPr>
          <w:rFonts w:ascii="Times New Roman" w:hAnsi="Times New Roman"/>
          <w:noProof w:val="0"/>
          <w:sz w:val="20"/>
          <w:lang w:val="en-US"/>
        </w:rPr>
      </w:pPr>
      <w:r w:rsidRPr="003C08FF">
        <w:rPr>
          <w:rFonts w:ascii="Times New Roman" w:hAnsi="Times New Roman"/>
          <w:noProof w:val="0"/>
          <w:sz w:val="20"/>
          <w:lang w:val="en-US"/>
        </w:rPr>
        <w:t>For students who plan to regularly attend classes, their final grade will be: I Midterm exam 3</w:t>
      </w:r>
      <w:r w:rsidR="00612DF0">
        <w:rPr>
          <w:rFonts w:ascii="Times New Roman" w:hAnsi="Times New Roman"/>
          <w:noProof w:val="0"/>
          <w:sz w:val="20"/>
          <w:lang w:val="en-US"/>
        </w:rPr>
        <w:t>0</w:t>
      </w:r>
      <w:r w:rsidRPr="003C08FF">
        <w:rPr>
          <w:rFonts w:ascii="Times New Roman" w:hAnsi="Times New Roman"/>
          <w:noProof w:val="0"/>
          <w:sz w:val="20"/>
          <w:lang w:val="en-US"/>
        </w:rPr>
        <w:t>%; II Midterm Exam: 3</w:t>
      </w:r>
      <w:r w:rsidR="00612DF0">
        <w:rPr>
          <w:rFonts w:ascii="Times New Roman" w:hAnsi="Times New Roman"/>
          <w:noProof w:val="0"/>
          <w:sz w:val="20"/>
          <w:lang w:val="en-US"/>
        </w:rPr>
        <w:t>0</w:t>
      </w:r>
      <w:r w:rsidRPr="003C08FF">
        <w:rPr>
          <w:rFonts w:ascii="Times New Roman" w:hAnsi="Times New Roman"/>
          <w:noProof w:val="0"/>
          <w:sz w:val="20"/>
          <w:lang w:val="en-US"/>
        </w:rPr>
        <w:t>%; Class Participation and</w:t>
      </w:r>
      <w:r w:rsidR="00612DF0">
        <w:rPr>
          <w:rFonts w:ascii="Times New Roman" w:hAnsi="Times New Roman"/>
          <w:noProof w:val="0"/>
          <w:sz w:val="20"/>
          <w:lang w:val="en-US"/>
        </w:rPr>
        <w:t xml:space="preserve"> Case Discussion/Presentation: 4</w:t>
      </w:r>
      <w:r w:rsidRPr="003C08FF">
        <w:rPr>
          <w:rFonts w:ascii="Times New Roman" w:hAnsi="Times New Roman"/>
          <w:noProof w:val="0"/>
          <w:sz w:val="20"/>
          <w:lang w:val="en-US"/>
        </w:rPr>
        <w:t xml:space="preserve">0%. </w:t>
      </w:r>
    </w:p>
    <w:p w:rsidR="00D1216F" w:rsidRDefault="00D1216F" w:rsidP="003C08FF">
      <w:pPr>
        <w:pStyle w:val="Testo2"/>
        <w:spacing w:line="240" w:lineRule="exact"/>
        <w:ind w:firstLine="288"/>
        <w:rPr>
          <w:rFonts w:ascii="Times New Roman" w:hAnsi="Times New Roman"/>
          <w:noProof w:val="0"/>
          <w:sz w:val="20"/>
          <w:lang w:val="en-US"/>
        </w:rPr>
      </w:pPr>
      <w:r w:rsidRPr="00D1216F">
        <w:rPr>
          <w:rFonts w:ascii="Times New Roman" w:hAnsi="Times New Roman"/>
          <w:noProof w:val="0"/>
          <w:sz w:val="20"/>
          <w:lang w:val="en-US"/>
        </w:rPr>
        <w:t xml:space="preserve">Students who do not attend regularly will take </w:t>
      </w:r>
      <w:r w:rsidR="00560233">
        <w:rPr>
          <w:rFonts w:ascii="Times New Roman" w:hAnsi="Times New Roman"/>
          <w:noProof w:val="0"/>
          <w:sz w:val="20"/>
          <w:lang w:val="en-US"/>
        </w:rPr>
        <w:t>a</w:t>
      </w:r>
      <w:r w:rsidRPr="00D1216F">
        <w:rPr>
          <w:rFonts w:ascii="Times New Roman" w:hAnsi="Times New Roman"/>
          <w:noProof w:val="0"/>
          <w:sz w:val="20"/>
          <w:lang w:val="en-US"/>
        </w:rPr>
        <w:t xml:space="preserve"> comprehensive final exam </w:t>
      </w:r>
      <w:r>
        <w:rPr>
          <w:rFonts w:ascii="Times New Roman" w:hAnsi="Times New Roman"/>
          <w:noProof w:val="0"/>
          <w:sz w:val="20"/>
          <w:lang w:val="en-US"/>
        </w:rPr>
        <w:t xml:space="preserve">during regular exam session </w:t>
      </w:r>
      <w:r w:rsidR="00560233" w:rsidRPr="00560233">
        <w:rPr>
          <w:rFonts w:ascii="Times New Roman" w:hAnsi="Times New Roman"/>
          <w:noProof w:val="0"/>
          <w:sz w:val="20"/>
          <w:lang w:val="en-US"/>
        </w:rPr>
        <w:t xml:space="preserve">that will cover all course material </w:t>
      </w:r>
      <w:r w:rsidRPr="00D1216F">
        <w:rPr>
          <w:rFonts w:ascii="Times New Roman" w:hAnsi="Times New Roman"/>
          <w:noProof w:val="0"/>
          <w:sz w:val="20"/>
          <w:lang w:val="en-US"/>
        </w:rPr>
        <w:t>and their grade will be 100% comprehensive final.</w:t>
      </w:r>
    </w:p>
    <w:p w:rsidR="003639B3" w:rsidRPr="00D1216F" w:rsidRDefault="003639B3" w:rsidP="003C08FF">
      <w:pPr>
        <w:pStyle w:val="Testo2"/>
        <w:spacing w:line="240" w:lineRule="exact"/>
        <w:ind w:firstLine="288"/>
        <w:rPr>
          <w:rFonts w:ascii="Times New Roman" w:hAnsi="Times New Roman"/>
          <w:noProof w:val="0"/>
          <w:sz w:val="20"/>
          <w:lang w:val="en-US"/>
        </w:rPr>
      </w:pPr>
      <w:r w:rsidRPr="00D1216F">
        <w:rPr>
          <w:rFonts w:ascii="Times New Roman" w:hAnsi="Times New Roman"/>
          <w:noProof w:val="0"/>
          <w:sz w:val="20"/>
          <w:lang w:val="en-US"/>
        </w:rPr>
        <w:t>Each written exam will consist in a set of multiple-choice questions and in quantitative exercises. The weight of each exercise on the final grade is approximately the same.</w:t>
      </w:r>
    </w:p>
    <w:p w:rsidR="00D1216F" w:rsidRPr="00D1216F" w:rsidRDefault="00B711B1" w:rsidP="003C08FF">
      <w:pPr>
        <w:spacing w:before="240" w:after="120"/>
        <w:rPr>
          <w:b/>
          <w:bCs/>
          <w:i/>
          <w:iCs/>
          <w:sz w:val="18"/>
          <w:szCs w:val="18"/>
          <w:lang w:val="en-GB"/>
        </w:rPr>
      </w:pPr>
      <w:r w:rsidRPr="00B711B1">
        <w:rPr>
          <w:b/>
          <w:bCs/>
          <w:i/>
          <w:iCs/>
          <w:sz w:val="18"/>
          <w:szCs w:val="18"/>
          <w:lang w:val="en-GB"/>
        </w:rPr>
        <w:t xml:space="preserve">NOTES AND </w:t>
      </w:r>
      <w:r w:rsidR="00D1216F" w:rsidRPr="00D1216F">
        <w:rPr>
          <w:b/>
          <w:bCs/>
          <w:i/>
          <w:iCs/>
          <w:sz w:val="18"/>
          <w:szCs w:val="18"/>
          <w:lang w:val="en-GB"/>
        </w:rPr>
        <w:t>PREREQUISITES</w:t>
      </w:r>
    </w:p>
    <w:p w:rsidR="00D1216F" w:rsidRDefault="003C08FF" w:rsidP="003C08FF">
      <w:pPr>
        <w:autoSpaceDE w:val="0"/>
        <w:autoSpaceDN w:val="0"/>
        <w:adjustRightInd w:val="0"/>
        <w:rPr>
          <w:szCs w:val="20"/>
          <w:lang w:val="en-US"/>
        </w:rPr>
      </w:pPr>
      <w:r>
        <w:rPr>
          <w:szCs w:val="20"/>
          <w:lang w:val="en-US"/>
        </w:rPr>
        <w:tab/>
      </w:r>
      <w:r w:rsidR="00D1216F" w:rsidRPr="00013922">
        <w:rPr>
          <w:szCs w:val="20"/>
          <w:lang w:val="en-US"/>
        </w:rPr>
        <w:t xml:space="preserve">Officially, students must have taken a class in </w:t>
      </w:r>
      <w:r w:rsidR="00D1216F" w:rsidRPr="008B6893">
        <w:rPr>
          <w:szCs w:val="20"/>
          <w:lang w:val="en-US"/>
        </w:rPr>
        <w:t>Corporate finance (options, futures and</w:t>
      </w:r>
      <w:r w:rsidR="00D1216F">
        <w:rPr>
          <w:szCs w:val="20"/>
          <w:lang w:val="en-US"/>
        </w:rPr>
        <w:t xml:space="preserve"> </w:t>
      </w:r>
      <w:r w:rsidR="00D1216F" w:rsidRPr="008B6893">
        <w:rPr>
          <w:szCs w:val="20"/>
          <w:lang w:val="en-US"/>
        </w:rPr>
        <w:t>derivatives)</w:t>
      </w:r>
      <w:r w:rsidR="00D1216F">
        <w:rPr>
          <w:szCs w:val="20"/>
          <w:lang w:val="en-US"/>
        </w:rPr>
        <w:t xml:space="preserve"> or </w:t>
      </w:r>
      <w:proofErr w:type="spellStart"/>
      <w:r w:rsidR="00D1216F" w:rsidRPr="008B6893">
        <w:rPr>
          <w:szCs w:val="20"/>
          <w:lang w:val="en-US"/>
        </w:rPr>
        <w:t>Finanza</w:t>
      </w:r>
      <w:proofErr w:type="spellEnd"/>
      <w:r w:rsidR="00D1216F" w:rsidRPr="008B6893">
        <w:rPr>
          <w:szCs w:val="20"/>
          <w:lang w:val="en-US"/>
        </w:rPr>
        <w:t xml:space="preserve"> </w:t>
      </w:r>
      <w:proofErr w:type="spellStart"/>
      <w:r w:rsidR="00D1216F" w:rsidRPr="008B6893">
        <w:rPr>
          <w:szCs w:val="20"/>
          <w:lang w:val="en-US"/>
        </w:rPr>
        <w:t>aziendale</w:t>
      </w:r>
      <w:proofErr w:type="spellEnd"/>
      <w:r w:rsidR="00D1216F" w:rsidRPr="008B6893">
        <w:rPr>
          <w:szCs w:val="20"/>
          <w:lang w:val="en-US"/>
        </w:rPr>
        <w:t xml:space="preserve"> (asset pricing e</w:t>
      </w:r>
      <w:r w:rsidR="00D1216F">
        <w:rPr>
          <w:szCs w:val="20"/>
          <w:lang w:val="en-US"/>
        </w:rPr>
        <w:t xml:space="preserve"> </w:t>
      </w:r>
      <w:proofErr w:type="spellStart"/>
      <w:r w:rsidR="00D1216F">
        <w:rPr>
          <w:szCs w:val="20"/>
          <w:lang w:val="en-US"/>
        </w:rPr>
        <w:t>finanziamento</w:t>
      </w:r>
      <w:proofErr w:type="spellEnd"/>
      <w:r w:rsidR="00D1216F">
        <w:rPr>
          <w:szCs w:val="20"/>
          <w:lang w:val="en-US"/>
        </w:rPr>
        <w:t xml:space="preserve"> </w:t>
      </w:r>
      <w:proofErr w:type="spellStart"/>
      <w:r w:rsidR="00D1216F">
        <w:rPr>
          <w:szCs w:val="20"/>
          <w:lang w:val="en-US"/>
        </w:rPr>
        <w:t>delle</w:t>
      </w:r>
      <w:proofErr w:type="spellEnd"/>
      <w:r w:rsidR="00D1216F">
        <w:rPr>
          <w:szCs w:val="20"/>
          <w:lang w:val="en-US"/>
        </w:rPr>
        <w:t xml:space="preserve"> </w:t>
      </w:r>
      <w:proofErr w:type="spellStart"/>
      <w:r w:rsidR="00D1216F">
        <w:rPr>
          <w:szCs w:val="20"/>
          <w:lang w:val="en-US"/>
        </w:rPr>
        <w:t>imprese</w:t>
      </w:r>
      <w:proofErr w:type="spellEnd"/>
      <w:r w:rsidR="00D1216F">
        <w:rPr>
          <w:szCs w:val="20"/>
          <w:lang w:val="en-US"/>
        </w:rPr>
        <w:t>) (see the student’s guide). In any case i</w:t>
      </w:r>
      <w:r w:rsidR="00D1216F" w:rsidRPr="00013922">
        <w:rPr>
          <w:szCs w:val="20"/>
          <w:lang w:val="en-US"/>
        </w:rPr>
        <w:t xml:space="preserve">t is </w:t>
      </w:r>
      <w:r w:rsidR="00D1216F">
        <w:rPr>
          <w:szCs w:val="20"/>
          <w:lang w:val="en-US"/>
        </w:rPr>
        <w:t>strongly</w:t>
      </w:r>
      <w:r w:rsidR="00D1216F" w:rsidRPr="00013922">
        <w:rPr>
          <w:szCs w:val="20"/>
          <w:lang w:val="en-US"/>
        </w:rPr>
        <w:t xml:space="preserve"> recommended that students have preliminary knowledge of derivatives as well as of capital budgeting and financing decisions in a domestic environment.</w:t>
      </w:r>
    </w:p>
    <w:p w:rsidR="00612DF0" w:rsidRDefault="00612DF0" w:rsidP="003C08FF">
      <w:pPr>
        <w:autoSpaceDE w:val="0"/>
        <w:autoSpaceDN w:val="0"/>
        <w:adjustRightInd w:val="0"/>
        <w:rPr>
          <w:i/>
          <w:szCs w:val="20"/>
          <w:lang w:val="en-US"/>
        </w:rPr>
      </w:pPr>
    </w:p>
    <w:p w:rsidR="00612DF0" w:rsidRPr="00612DF0" w:rsidRDefault="00612DF0" w:rsidP="003C08FF">
      <w:pPr>
        <w:autoSpaceDE w:val="0"/>
        <w:autoSpaceDN w:val="0"/>
        <w:adjustRightInd w:val="0"/>
        <w:rPr>
          <w:i/>
          <w:szCs w:val="20"/>
          <w:lang w:val="en-US"/>
        </w:rPr>
      </w:pPr>
      <w:r w:rsidRPr="00612DF0">
        <w:rPr>
          <w:i/>
          <w:szCs w:val="20"/>
          <w:lang w:val="en-US"/>
        </w:rPr>
        <w:lastRenderedPageBreak/>
        <w:t>In case the current Covid-19 health emergency does not allow frontal teaching, remote teaching will be carried out following procedures that will be promptly notified to students</w:t>
      </w:r>
      <w:r>
        <w:rPr>
          <w:i/>
          <w:szCs w:val="20"/>
          <w:lang w:val="en-US"/>
        </w:rPr>
        <w:t>.</w:t>
      </w:r>
    </w:p>
    <w:p w:rsidR="006F1772" w:rsidRPr="00612DF0" w:rsidRDefault="006F1772" w:rsidP="003C08FF">
      <w:pPr>
        <w:rPr>
          <w:i/>
          <w:szCs w:val="20"/>
          <w:lang w:val="en-US"/>
        </w:rPr>
      </w:pPr>
    </w:p>
    <w:sectPr w:rsidR="006F1772" w:rsidRPr="00612DF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8A" w:rsidRDefault="0096608A" w:rsidP="0096608A">
      <w:pPr>
        <w:spacing w:line="240" w:lineRule="auto"/>
      </w:pPr>
      <w:r>
        <w:separator/>
      </w:r>
    </w:p>
  </w:endnote>
  <w:endnote w:type="continuationSeparator" w:id="0">
    <w:p w:rsidR="0096608A" w:rsidRDefault="0096608A" w:rsidP="00966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8A" w:rsidRDefault="0096608A" w:rsidP="0096608A">
      <w:pPr>
        <w:spacing w:line="240" w:lineRule="auto"/>
      </w:pPr>
      <w:r>
        <w:separator/>
      </w:r>
    </w:p>
  </w:footnote>
  <w:footnote w:type="continuationSeparator" w:id="0">
    <w:p w:rsidR="0096608A" w:rsidRDefault="0096608A" w:rsidP="0096608A">
      <w:pPr>
        <w:spacing w:line="240" w:lineRule="auto"/>
      </w:pPr>
      <w:r>
        <w:continuationSeparator/>
      </w:r>
    </w:p>
  </w:footnote>
  <w:footnote w:id="1">
    <w:p w:rsidR="0096608A" w:rsidRDefault="0096608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B6E03"/>
    <w:multiLevelType w:val="hybridMultilevel"/>
    <w:tmpl w:val="C8B07B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A8A498B"/>
    <w:multiLevelType w:val="hybridMultilevel"/>
    <w:tmpl w:val="200E1DA8"/>
    <w:lvl w:ilvl="0" w:tplc="792E556A">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61350451"/>
    <w:multiLevelType w:val="hybridMultilevel"/>
    <w:tmpl w:val="F12CD7B6"/>
    <w:lvl w:ilvl="0" w:tplc="04100001">
      <w:start w:val="1"/>
      <w:numFmt w:val="bullet"/>
      <w:lvlText w:val=""/>
      <w:lvlJc w:val="left"/>
      <w:pPr>
        <w:ind w:left="720" w:hanging="360"/>
      </w:pPr>
      <w:rPr>
        <w:rFonts w:ascii="Symbol" w:hAnsi="Symbol" w:hint="default"/>
      </w:rPr>
    </w:lvl>
    <w:lvl w:ilvl="1" w:tplc="672A4A0C">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E67E0"/>
    <w:rsid w:val="00187B99"/>
    <w:rsid w:val="002014DD"/>
    <w:rsid w:val="0026544D"/>
    <w:rsid w:val="003639B3"/>
    <w:rsid w:val="003C08FF"/>
    <w:rsid w:val="004B7192"/>
    <w:rsid w:val="004D1217"/>
    <w:rsid w:val="004D6008"/>
    <w:rsid w:val="005027BA"/>
    <w:rsid w:val="00560233"/>
    <w:rsid w:val="00612DF0"/>
    <w:rsid w:val="006F1772"/>
    <w:rsid w:val="008903E4"/>
    <w:rsid w:val="008A1204"/>
    <w:rsid w:val="00900CCA"/>
    <w:rsid w:val="00924B77"/>
    <w:rsid w:val="00940DA2"/>
    <w:rsid w:val="0096608A"/>
    <w:rsid w:val="00966B6E"/>
    <w:rsid w:val="009E055C"/>
    <w:rsid w:val="00A74F6F"/>
    <w:rsid w:val="00AA7F4A"/>
    <w:rsid w:val="00AD7557"/>
    <w:rsid w:val="00B35DC5"/>
    <w:rsid w:val="00B51253"/>
    <w:rsid w:val="00B525CC"/>
    <w:rsid w:val="00B711B1"/>
    <w:rsid w:val="00D1216F"/>
    <w:rsid w:val="00D404F2"/>
    <w:rsid w:val="00D81A4F"/>
    <w:rsid w:val="00DD1182"/>
    <w:rsid w:val="00E36D4C"/>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8903E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903E4"/>
    <w:rPr>
      <w:rFonts w:ascii="Segoe UI" w:hAnsi="Segoe UI" w:cs="Segoe UI"/>
      <w:sz w:val="18"/>
      <w:szCs w:val="18"/>
    </w:rPr>
  </w:style>
  <w:style w:type="paragraph" w:styleId="Paragrafoelenco">
    <w:name w:val="List Paragraph"/>
    <w:basedOn w:val="Normale"/>
    <w:uiPriority w:val="34"/>
    <w:qFormat/>
    <w:rsid w:val="000E67E0"/>
    <w:pPr>
      <w:ind w:left="720"/>
      <w:contextualSpacing/>
    </w:pPr>
  </w:style>
  <w:style w:type="paragraph" w:styleId="Testonotaapidipagina">
    <w:name w:val="footnote text"/>
    <w:basedOn w:val="Normale"/>
    <w:link w:val="TestonotaapidipaginaCarattere"/>
    <w:semiHidden/>
    <w:unhideWhenUsed/>
    <w:rsid w:val="0096608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6608A"/>
  </w:style>
  <w:style w:type="character" w:styleId="Rimandonotaapidipagina">
    <w:name w:val="footnote reference"/>
    <w:basedOn w:val="Carpredefinitoparagrafo"/>
    <w:semiHidden/>
    <w:unhideWhenUsed/>
    <w:rsid w:val="009660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8903E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903E4"/>
    <w:rPr>
      <w:rFonts w:ascii="Segoe UI" w:hAnsi="Segoe UI" w:cs="Segoe UI"/>
      <w:sz w:val="18"/>
      <w:szCs w:val="18"/>
    </w:rPr>
  </w:style>
  <w:style w:type="paragraph" w:styleId="Paragrafoelenco">
    <w:name w:val="List Paragraph"/>
    <w:basedOn w:val="Normale"/>
    <w:uiPriority w:val="34"/>
    <w:qFormat/>
    <w:rsid w:val="000E67E0"/>
    <w:pPr>
      <w:ind w:left="720"/>
      <w:contextualSpacing/>
    </w:pPr>
  </w:style>
  <w:style w:type="paragraph" w:styleId="Testonotaapidipagina">
    <w:name w:val="footnote text"/>
    <w:basedOn w:val="Normale"/>
    <w:link w:val="TestonotaapidipaginaCarattere"/>
    <w:semiHidden/>
    <w:unhideWhenUsed/>
    <w:rsid w:val="0096608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6608A"/>
  </w:style>
  <w:style w:type="character" w:styleId="Rimandonotaapidipagina">
    <w:name w:val="footnote reference"/>
    <w:basedOn w:val="Carpredefinitoparagrafo"/>
    <w:semiHidden/>
    <w:unhideWhenUsed/>
    <w:rsid w:val="009660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8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ABD29-A272-4684-B267-F65C2760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3205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2018-05-07T09:44:00Z</cp:lastPrinted>
  <dcterms:created xsi:type="dcterms:W3CDTF">2020-05-22T07:13:00Z</dcterms:created>
  <dcterms:modified xsi:type="dcterms:W3CDTF">2020-07-13T06:22:00Z</dcterms:modified>
</cp:coreProperties>
</file>