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2A" w:rsidRPr="001C52DC" w:rsidRDefault="004C112A" w:rsidP="001C52DC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1C52DC">
        <w:rPr>
          <w:rFonts w:ascii="Times" w:hAnsi="Times"/>
          <w:b/>
          <w:noProof/>
          <w:szCs w:val="20"/>
        </w:rPr>
        <w:t>Economia dell’innovazione e competitività</w:t>
      </w:r>
    </w:p>
    <w:p w:rsidR="004C112A" w:rsidRPr="001C52DC" w:rsidRDefault="004C112A" w:rsidP="001C52DC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1C52DC">
        <w:rPr>
          <w:rFonts w:ascii="Times" w:hAnsi="Times"/>
          <w:smallCaps/>
          <w:noProof/>
          <w:sz w:val="18"/>
          <w:szCs w:val="20"/>
        </w:rPr>
        <w:t>Prof. Luigi Filippini</w:t>
      </w:r>
    </w:p>
    <w:p w:rsidR="004C112A" w:rsidRPr="001C52DC" w:rsidRDefault="004C112A" w:rsidP="001C52DC">
      <w:pPr>
        <w:tabs>
          <w:tab w:val="clear" w:pos="284"/>
        </w:tabs>
        <w:spacing w:before="240" w:after="120"/>
        <w:rPr>
          <w:b/>
          <w:sz w:val="18"/>
          <w:szCs w:val="22"/>
          <w:lang w:eastAsia="en-US"/>
        </w:rPr>
      </w:pPr>
      <w:r w:rsidRPr="001C52DC">
        <w:rPr>
          <w:b/>
          <w:i/>
          <w:sz w:val="18"/>
          <w:szCs w:val="22"/>
          <w:lang w:eastAsia="en-US"/>
        </w:rPr>
        <w:t>OBIETTIVO DEL CORSO</w:t>
      </w:r>
      <w:r>
        <w:rPr>
          <w:b/>
          <w:i/>
          <w:sz w:val="18"/>
          <w:szCs w:val="22"/>
          <w:lang w:eastAsia="en-US"/>
        </w:rPr>
        <w:t xml:space="preserve"> E RISULTATI DI APPRENDIMENTO ATTESI</w:t>
      </w:r>
    </w:p>
    <w:p w:rsidR="004C112A" w:rsidRPr="001C52DC" w:rsidRDefault="004C112A" w:rsidP="00292AF1">
      <w:pPr>
        <w:rPr>
          <w:lang w:eastAsia="en-US"/>
        </w:rPr>
      </w:pPr>
      <w:r w:rsidRPr="001C52DC">
        <w:rPr>
          <w:lang w:eastAsia="en-US"/>
        </w:rPr>
        <w:t>L’economia dell’innovazione è un campo di ricerca molto ampio. Obiettivo del corso è soprattutto l’analisi degli aspetti microeconomici e di management dell’innovazione, temi da sempre in forte sviluppo nella disciplina economica anche con riferimento alla competitività globale.</w:t>
      </w:r>
    </w:p>
    <w:p w:rsidR="004C112A" w:rsidRPr="001C52DC" w:rsidRDefault="004C112A" w:rsidP="00292AF1">
      <w:pPr>
        <w:rPr>
          <w:lang w:eastAsia="en-US"/>
        </w:rPr>
      </w:pPr>
      <w:r w:rsidRPr="001C52DC">
        <w:rPr>
          <w:lang w:eastAsia="en-US"/>
        </w:rPr>
        <w:t>I temi affrontati vanno dall'analisi degli incentivi all’innovazione e fallimenti del mercato alla struttura di mercato ed innovazione.</w:t>
      </w:r>
    </w:p>
    <w:p w:rsidR="004C112A" w:rsidRDefault="004C112A" w:rsidP="00292AF1">
      <w:pPr>
        <w:rPr>
          <w:lang w:eastAsia="en-US"/>
        </w:rPr>
      </w:pPr>
      <w:r w:rsidRPr="001C52DC">
        <w:rPr>
          <w:lang w:eastAsia="en-US"/>
        </w:rPr>
        <w:t>Particolare enfasi sarà dedicata all’innovazione in un’economia globale.</w:t>
      </w:r>
    </w:p>
    <w:p w:rsidR="004C112A" w:rsidRPr="006862AB" w:rsidRDefault="004C112A" w:rsidP="00292AF1">
      <w:r>
        <w:t>A</w:t>
      </w:r>
      <w:r w:rsidRPr="006862AB">
        <w:t>l termine del corso lo studente:</w:t>
      </w:r>
    </w:p>
    <w:p w:rsidR="004C112A" w:rsidRPr="006862AB" w:rsidRDefault="004C112A" w:rsidP="00292AF1">
      <w:r w:rsidRPr="006862AB">
        <w:t>1) avrà una profonda conoscenza e capacità di comprensione dei meccanismi dell’innovazione e della sua diffusione,</w:t>
      </w:r>
    </w:p>
    <w:p w:rsidR="004C112A" w:rsidRPr="006862AB" w:rsidRDefault="004C112A" w:rsidP="00292AF1">
      <w:r w:rsidRPr="006862AB">
        <w:t>2) saprà applicare gli strumenti d’analisi delle innovazioni anche a casi concreti;</w:t>
      </w:r>
    </w:p>
    <w:p w:rsidR="004C112A" w:rsidRPr="006862AB" w:rsidRDefault="004C112A" w:rsidP="00292AF1">
      <w:r w:rsidRPr="006862AB">
        <w:t>3) saprà integrare in modo autonomo le conoscenze e gestire la complessità delle innovazioni e</w:t>
      </w:r>
    </w:p>
    <w:p w:rsidR="004C112A" w:rsidRPr="006862AB" w:rsidRDefault="004C112A" w:rsidP="00292AF1">
      <w:r>
        <w:t>4) avrà</w:t>
      </w:r>
      <w:r w:rsidRPr="003B31FD">
        <w:t xml:space="preserve"> acquisito un linguaggio tecnico che </w:t>
      </w:r>
      <w:r>
        <w:t xml:space="preserve">gli </w:t>
      </w:r>
      <w:r w:rsidRPr="003B31FD">
        <w:t>consenta di comunicare con chiarezza ed efficacia le conoscenze acquisite</w:t>
      </w:r>
      <w:r w:rsidRPr="006862AB">
        <w:t>;</w:t>
      </w:r>
    </w:p>
    <w:p w:rsidR="004C112A" w:rsidRPr="006862AB" w:rsidRDefault="004C112A" w:rsidP="00292AF1">
      <w:r w:rsidRPr="006862AB">
        <w:t>5) avrà sviluppato quelle capacità di apprendimento che consent</w:t>
      </w:r>
      <w:r>
        <w:t>ono</w:t>
      </w:r>
      <w:r w:rsidRPr="006862AB">
        <w:t xml:space="preserve"> di continuare a studiare in modo auto-diretto.</w:t>
      </w:r>
    </w:p>
    <w:p w:rsidR="004C112A" w:rsidRPr="001C52DC" w:rsidRDefault="004C112A" w:rsidP="001C52DC">
      <w:pPr>
        <w:tabs>
          <w:tab w:val="clear" w:pos="284"/>
        </w:tabs>
        <w:spacing w:before="240" w:after="120"/>
        <w:rPr>
          <w:b/>
          <w:sz w:val="18"/>
          <w:szCs w:val="22"/>
          <w:lang w:eastAsia="en-US"/>
        </w:rPr>
      </w:pPr>
      <w:r w:rsidRPr="001C52DC">
        <w:rPr>
          <w:b/>
          <w:i/>
          <w:sz w:val="18"/>
          <w:szCs w:val="22"/>
          <w:lang w:eastAsia="en-US"/>
        </w:rPr>
        <w:t>PROGRAMMA DEL CORSO</w:t>
      </w:r>
    </w:p>
    <w:p w:rsidR="004C112A" w:rsidRPr="001C52DC" w:rsidRDefault="004C112A" w:rsidP="001C52DC">
      <w:pPr>
        <w:spacing w:line="276" w:lineRule="auto"/>
        <w:rPr>
          <w:i/>
          <w:szCs w:val="22"/>
          <w:lang w:eastAsia="en-US"/>
        </w:rPr>
      </w:pPr>
      <w:r w:rsidRPr="001C52DC">
        <w:rPr>
          <w:szCs w:val="22"/>
          <w:lang w:eastAsia="en-US"/>
        </w:rPr>
        <w:t>–</w:t>
      </w:r>
      <w:r w:rsidRPr="001C52DC">
        <w:rPr>
          <w:szCs w:val="22"/>
          <w:lang w:eastAsia="en-US"/>
        </w:rPr>
        <w:tab/>
      </w:r>
      <w:r w:rsidRPr="001C52DC">
        <w:rPr>
          <w:i/>
          <w:szCs w:val="22"/>
          <w:lang w:eastAsia="en-US"/>
        </w:rPr>
        <w:t>Incentivi all’innovazione e fallimenti del mercato</w:t>
      </w:r>
    </w:p>
    <w:p w:rsidR="004C112A" w:rsidRPr="001C52DC" w:rsidRDefault="004C112A" w:rsidP="001C52DC">
      <w:pPr>
        <w:tabs>
          <w:tab w:val="clear" w:pos="284"/>
        </w:tabs>
        <w:spacing w:line="276" w:lineRule="auto"/>
        <w:ind w:left="284"/>
        <w:rPr>
          <w:szCs w:val="22"/>
          <w:lang w:eastAsia="en-US"/>
        </w:rPr>
      </w:pPr>
      <w:r w:rsidRPr="001C52DC">
        <w:rPr>
          <w:szCs w:val="22"/>
          <w:lang w:eastAsia="en-US"/>
        </w:rPr>
        <w:t>Monopolio, oligopolio ed incentivi ad innovare (Arrow). Brevetti e loro funzioni. Innovazione cumulativa (Green e Scotchmer).</w:t>
      </w:r>
    </w:p>
    <w:p w:rsidR="004C112A" w:rsidRPr="001C52DC" w:rsidRDefault="004C112A" w:rsidP="001C52DC">
      <w:pPr>
        <w:spacing w:line="276" w:lineRule="auto"/>
        <w:rPr>
          <w:szCs w:val="22"/>
          <w:lang w:eastAsia="en-US"/>
        </w:rPr>
      </w:pPr>
      <w:r w:rsidRPr="001C52DC">
        <w:rPr>
          <w:szCs w:val="22"/>
          <w:lang w:eastAsia="en-US"/>
        </w:rPr>
        <w:t>–</w:t>
      </w:r>
      <w:r w:rsidRPr="001C52DC">
        <w:rPr>
          <w:szCs w:val="22"/>
          <w:lang w:eastAsia="en-US"/>
        </w:rPr>
        <w:tab/>
      </w:r>
      <w:r w:rsidRPr="001C52DC">
        <w:rPr>
          <w:i/>
          <w:szCs w:val="22"/>
          <w:lang w:eastAsia="en-US"/>
        </w:rPr>
        <w:t>Struttura di mercato ed innovazione</w:t>
      </w:r>
    </w:p>
    <w:p w:rsidR="004C112A" w:rsidRPr="001C52DC" w:rsidRDefault="004C112A" w:rsidP="001C52DC">
      <w:pPr>
        <w:tabs>
          <w:tab w:val="clear" w:pos="284"/>
        </w:tabs>
        <w:spacing w:line="276" w:lineRule="auto"/>
        <w:ind w:left="284"/>
        <w:rPr>
          <w:szCs w:val="22"/>
          <w:lang w:eastAsia="en-US"/>
        </w:rPr>
      </w:pPr>
      <w:r w:rsidRPr="001C52DC">
        <w:rPr>
          <w:szCs w:val="22"/>
          <w:lang w:eastAsia="en-US"/>
        </w:rPr>
        <w:t>Come gli investimenti in Ricerca e Sviluppo influenzano la struttura di mercato.</w:t>
      </w:r>
    </w:p>
    <w:p w:rsidR="004C112A" w:rsidRPr="001C52DC" w:rsidRDefault="004C112A" w:rsidP="001C52DC">
      <w:pPr>
        <w:spacing w:line="276" w:lineRule="auto"/>
        <w:rPr>
          <w:szCs w:val="22"/>
          <w:lang w:eastAsia="en-US"/>
        </w:rPr>
      </w:pPr>
      <w:r w:rsidRPr="001C52DC">
        <w:rPr>
          <w:szCs w:val="22"/>
          <w:lang w:eastAsia="en-US"/>
        </w:rPr>
        <w:t>–</w:t>
      </w:r>
      <w:r w:rsidRPr="001C52DC">
        <w:rPr>
          <w:szCs w:val="22"/>
          <w:lang w:eastAsia="en-US"/>
        </w:rPr>
        <w:tab/>
      </w:r>
      <w:r w:rsidRPr="001C52DC">
        <w:rPr>
          <w:i/>
          <w:szCs w:val="22"/>
          <w:lang w:eastAsia="en-US"/>
        </w:rPr>
        <w:t>Il mercato delle licenze</w:t>
      </w:r>
    </w:p>
    <w:p w:rsidR="004C112A" w:rsidRPr="001C52DC" w:rsidRDefault="004C112A" w:rsidP="001C52DC">
      <w:pPr>
        <w:tabs>
          <w:tab w:val="clear" w:pos="284"/>
        </w:tabs>
        <w:spacing w:line="276" w:lineRule="auto"/>
        <w:ind w:left="284"/>
        <w:rPr>
          <w:szCs w:val="22"/>
          <w:lang w:eastAsia="en-US"/>
        </w:rPr>
      </w:pPr>
      <w:r w:rsidRPr="001C52DC">
        <w:rPr>
          <w:szCs w:val="22"/>
          <w:lang w:eastAsia="en-US"/>
        </w:rPr>
        <w:t xml:space="preserve">Le licenze in un mercato à </w:t>
      </w:r>
      <w:smartTag w:uri="urn:schemas-microsoft-com:office:smarttags" w:element="PersonName">
        <w:smartTagPr>
          <w:attr w:name="ProductID" w:val="la Cournot"/>
        </w:smartTagPr>
        <w:r w:rsidRPr="001C52DC">
          <w:rPr>
            <w:szCs w:val="22"/>
            <w:lang w:eastAsia="en-US"/>
          </w:rPr>
          <w:t>la Cournot</w:t>
        </w:r>
      </w:smartTag>
      <w:r w:rsidRPr="001C52DC">
        <w:rPr>
          <w:szCs w:val="22"/>
          <w:lang w:eastAsia="en-US"/>
        </w:rPr>
        <w:t xml:space="preserve"> e à </w:t>
      </w:r>
      <w:smartTag w:uri="urn:schemas-microsoft-com:office:smarttags" w:element="PersonName">
        <w:smartTagPr>
          <w:attr w:name="ProductID" w:val="la Stackelberg. Le"/>
        </w:smartTagPr>
        <w:r w:rsidRPr="001C52DC">
          <w:rPr>
            <w:szCs w:val="22"/>
            <w:lang w:eastAsia="en-US"/>
          </w:rPr>
          <w:t>la Stackelberg. Le</w:t>
        </w:r>
      </w:smartTag>
      <w:r w:rsidRPr="001C52DC">
        <w:rPr>
          <w:szCs w:val="22"/>
          <w:lang w:eastAsia="en-US"/>
        </w:rPr>
        <w:t xml:space="preserve"> Cross-licensing e i patent pools.</w:t>
      </w:r>
    </w:p>
    <w:p w:rsidR="004C112A" w:rsidRPr="001C52DC" w:rsidRDefault="004C112A" w:rsidP="001C52DC">
      <w:pPr>
        <w:spacing w:line="276" w:lineRule="auto"/>
        <w:rPr>
          <w:szCs w:val="22"/>
          <w:lang w:eastAsia="en-US"/>
        </w:rPr>
      </w:pPr>
      <w:r w:rsidRPr="001C52DC">
        <w:rPr>
          <w:szCs w:val="22"/>
          <w:lang w:eastAsia="en-US"/>
        </w:rPr>
        <w:t>–</w:t>
      </w:r>
      <w:r w:rsidRPr="001C52DC">
        <w:rPr>
          <w:szCs w:val="22"/>
          <w:lang w:eastAsia="en-US"/>
        </w:rPr>
        <w:tab/>
      </w:r>
      <w:r w:rsidRPr="001C52DC">
        <w:rPr>
          <w:i/>
          <w:szCs w:val="22"/>
          <w:lang w:eastAsia="en-US"/>
        </w:rPr>
        <w:t>Innovazione in un’economia globale</w:t>
      </w:r>
    </w:p>
    <w:p w:rsidR="004C112A" w:rsidRPr="001C52DC" w:rsidRDefault="004C112A" w:rsidP="001C52DC">
      <w:pPr>
        <w:tabs>
          <w:tab w:val="clear" w:pos="284"/>
        </w:tabs>
        <w:spacing w:line="276" w:lineRule="auto"/>
        <w:ind w:left="284"/>
        <w:rPr>
          <w:szCs w:val="22"/>
          <w:lang w:eastAsia="en-US"/>
        </w:rPr>
      </w:pPr>
      <w:r w:rsidRPr="001C52DC">
        <w:rPr>
          <w:szCs w:val="22"/>
          <w:lang w:eastAsia="en-US"/>
        </w:rPr>
        <w:t>IPR e commercio Nord-Sud. Innovazione, discriminazione del prezzo e commercio parallelo.</w:t>
      </w:r>
    </w:p>
    <w:p w:rsidR="004C112A" w:rsidRPr="001C52DC" w:rsidRDefault="004C112A" w:rsidP="001C52DC">
      <w:pPr>
        <w:keepNext/>
        <w:tabs>
          <w:tab w:val="clear" w:pos="284"/>
        </w:tabs>
        <w:spacing w:before="240" w:after="120"/>
        <w:rPr>
          <w:b/>
          <w:sz w:val="18"/>
          <w:szCs w:val="22"/>
          <w:lang w:eastAsia="en-US"/>
        </w:rPr>
      </w:pPr>
      <w:r w:rsidRPr="001C52DC">
        <w:rPr>
          <w:b/>
          <w:i/>
          <w:sz w:val="18"/>
          <w:szCs w:val="22"/>
          <w:lang w:eastAsia="en-US"/>
        </w:rPr>
        <w:lastRenderedPageBreak/>
        <w:t>BIBLIOGRAFIA</w:t>
      </w:r>
      <w:r w:rsidR="00AD13B7">
        <w:rPr>
          <w:rStyle w:val="Rimandonotaapidipagina"/>
          <w:b/>
          <w:i/>
          <w:sz w:val="18"/>
          <w:szCs w:val="22"/>
          <w:lang w:eastAsia="en-US"/>
        </w:rPr>
        <w:footnoteReference w:id="1"/>
      </w:r>
    </w:p>
    <w:p w:rsidR="004C112A" w:rsidRPr="001C52DC" w:rsidRDefault="004C112A" w:rsidP="001C52DC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1C52DC">
        <w:rPr>
          <w:rFonts w:ascii="Times" w:hAnsi="Times"/>
          <w:noProof/>
          <w:sz w:val="18"/>
          <w:szCs w:val="20"/>
        </w:rPr>
        <w:t xml:space="preserve">Per gli studenti </w:t>
      </w:r>
      <w:r w:rsidRPr="001C52DC">
        <w:rPr>
          <w:rFonts w:ascii="Times" w:hAnsi="Times"/>
          <w:i/>
          <w:noProof/>
          <w:sz w:val="18"/>
          <w:szCs w:val="20"/>
        </w:rPr>
        <w:t>frequentanti</w:t>
      </w:r>
      <w:r w:rsidRPr="001C52DC">
        <w:rPr>
          <w:rFonts w:ascii="Times" w:hAnsi="Times"/>
          <w:noProof/>
          <w:sz w:val="18"/>
          <w:szCs w:val="20"/>
        </w:rPr>
        <w:t>:</w:t>
      </w:r>
    </w:p>
    <w:p w:rsidR="004C112A" w:rsidRPr="001C52DC" w:rsidRDefault="004C112A" w:rsidP="001C52DC">
      <w:pPr>
        <w:pStyle w:val="Testo1"/>
      </w:pPr>
      <w:r w:rsidRPr="001C52DC">
        <w:rPr>
          <w:i/>
        </w:rPr>
        <w:t>Letture per il Corso  di Economia dell’innovazione e Competitività</w:t>
      </w:r>
      <w:r w:rsidRPr="001C52DC">
        <w:t>, anno 20</w:t>
      </w:r>
      <w:r>
        <w:t>21</w:t>
      </w:r>
      <w:r w:rsidRPr="001C52DC">
        <w:t>, disponibili al Servizio Fotoriproduzioni.</w:t>
      </w:r>
    </w:p>
    <w:p w:rsidR="004C112A" w:rsidRPr="001C52DC" w:rsidRDefault="004C112A" w:rsidP="001C52DC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  <w:lang w:val="en-US"/>
        </w:rPr>
      </w:pPr>
      <w:r w:rsidRPr="001C52DC">
        <w:rPr>
          <w:rFonts w:ascii="Times" w:hAnsi="Times"/>
          <w:smallCaps/>
          <w:noProof/>
          <w:spacing w:val="-5"/>
          <w:sz w:val="16"/>
          <w:szCs w:val="20"/>
          <w:lang w:val="en-US"/>
        </w:rPr>
        <w:t>S. Scotchmer,</w:t>
      </w:r>
      <w:r w:rsidRPr="001C52DC">
        <w:rPr>
          <w:rFonts w:ascii="Times" w:hAnsi="Times"/>
          <w:i/>
          <w:noProof/>
          <w:spacing w:val="-5"/>
          <w:sz w:val="18"/>
          <w:szCs w:val="20"/>
          <w:lang w:val="en-US"/>
        </w:rPr>
        <w:t xml:space="preserve"> Innovation and incentives,</w:t>
      </w:r>
      <w:r w:rsidRPr="001C52DC">
        <w:rPr>
          <w:rFonts w:ascii="Times" w:hAnsi="Times"/>
          <w:noProof/>
          <w:spacing w:val="-5"/>
          <w:sz w:val="18"/>
          <w:szCs w:val="20"/>
          <w:lang w:val="en-US"/>
        </w:rPr>
        <w:t xml:space="preserve"> MIT Press,  </w:t>
      </w:r>
      <w:smartTag w:uri="urn:schemas-microsoft-com:office:smarttags" w:element="City">
        <w:smartTag w:uri="urn:schemas-microsoft-com:office:smarttags" w:element="place">
          <w:r w:rsidRPr="001C52DC">
            <w:rPr>
              <w:rFonts w:ascii="Times" w:hAnsi="Times"/>
              <w:noProof/>
              <w:spacing w:val="-5"/>
              <w:sz w:val="18"/>
              <w:szCs w:val="20"/>
              <w:lang w:val="en-US"/>
            </w:rPr>
            <w:t>Cambridge</w:t>
          </w:r>
        </w:smartTag>
      </w:smartTag>
      <w:r w:rsidRPr="001C52DC">
        <w:rPr>
          <w:rFonts w:ascii="Times" w:hAnsi="Times"/>
          <w:noProof/>
          <w:spacing w:val="-5"/>
          <w:sz w:val="18"/>
          <w:szCs w:val="20"/>
          <w:lang w:val="en-US"/>
        </w:rPr>
        <w:t>, 2004.</w:t>
      </w:r>
    </w:p>
    <w:p w:rsidR="004C112A" w:rsidRPr="001C52DC" w:rsidRDefault="004C112A" w:rsidP="001C52DC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1C52DC">
        <w:rPr>
          <w:rFonts w:ascii="Times" w:hAnsi="Times"/>
          <w:noProof/>
          <w:sz w:val="18"/>
          <w:szCs w:val="20"/>
        </w:rPr>
        <w:t xml:space="preserve">Il programma degli studenti </w:t>
      </w:r>
      <w:r w:rsidRPr="001C52DC">
        <w:rPr>
          <w:rFonts w:ascii="Times" w:hAnsi="Times"/>
          <w:i/>
          <w:noProof/>
          <w:sz w:val="18"/>
          <w:szCs w:val="20"/>
        </w:rPr>
        <w:t>non frequentanti</w:t>
      </w:r>
      <w:r w:rsidRPr="001C52DC">
        <w:rPr>
          <w:rFonts w:ascii="Times" w:hAnsi="Times"/>
          <w:noProof/>
          <w:sz w:val="18"/>
          <w:szCs w:val="20"/>
        </w:rPr>
        <w:t xml:space="preserve"> è:</w:t>
      </w:r>
    </w:p>
    <w:p w:rsidR="004C112A" w:rsidRPr="001C52DC" w:rsidRDefault="004C112A" w:rsidP="001C52DC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1C52DC">
        <w:rPr>
          <w:rFonts w:ascii="Times" w:hAnsi="Times"/>
          <w:smallCaps/>
          <w:noProof/>
          <w:spacing w:val="-5"/>
          <w:sz w:val="16"/>
          <w:szCs w:val="20"/>
        </w:rPr>
        <w:t>S. Comino-F. Manenti,</w:t>
      </w:r>
      <w:r w:rsidRPr="001C52DC">
        <w:rPr>
          <w:rFonts w:ascii="Times" w:hAnsi="Times"/>
          <w:i/>
          <w:noProof/>
          <w:spacing w:val="-5"/>
          <w:sz w:val="18"/>
          <w:szCs w:val="20"/>
        </w:rPr>
        <w:t xml:space="preserve"> Economia di Internet e delle ICT – I mercati high-tech tra </w:t>
      </w:r>
      <w:r w:rsidRPr="001C52DC">
        <w:rPr>
          <w:rFonts w:ascii="Times" w:hAnsi="Times"/>
          <w:i/>
          <w:iCs/>
          <w:noProof/>
          <w:spacing w:val="-5"/>
          <w:sz w:val="18"/>
          <w:szCs w:val="20"/>
        </w:rPr>
        <w:t>innovazione, reti e standard,</w:t>
      </w:r>
      <w:r w:rsidRPr="001C52DC">
        <w:rPr>
          <w:rFonts w:ascii="Times" w:hAnsi="Times"/>
          <w:noProof/>
          <w:spacing w:val="-5"/>
          <w:sz w:val="18"/>
          <w:szCs w:val="20"/>
        </w:rPr>
        <w:t xml:space="preserve"> G. Giappichelli, Torino, 2011 (capitoli 2, 3, 4, 6).</w:t>
      </w:r>
      <w:r w:rsidR="00AD13B7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8" w:history="1">
        <w:r w:rsidR="00AD13B7" w:rsidRPr="00AD13B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C112A" w:rsidRPr="001C52DC" w:rsidRDefault="004C112A" w:rsidP="001C52DC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2"/>
          <w:lang w:eastAsia="en-US"/>
        </w:rPr>
      </w:pPr>
      <w:r w:rsidRPr="001C52DC">
        <w:rPr>
          <w:b/>
          <w:i/>
          <w:sz w:val="18"/>
          <w:szCs w:val="22"/>
          <w:lang w:eastAsia="en-US"/>
        </w:rPr>
        <w:t>DIDATTICA DEL CORSO</w:t>
      </w:r>
    </w:p>
    <w:p w:rsidR="004C112A" w:rsidRPr="001C52DC" w:rsidRDefault="004C112A" w:rsidP="001C52DC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C52DC">
        <w:rPr>
          <w:rFonts w:ascii="Times" w:hAnsi="Times"/>
          <w:noProof/>
          <w:sz w:val="18"/>
          <w:szCs w:val="20"/>
        </w:rPr>
        <w:t>Il corso si articola in lezioni in aula il cui materiale è disponibile al Servizio Fotoriproduzioni.</w:t>
      </w:r>
    </w:p>
    <w:p w:rsidR="004C112A" w:rsidRPr="001C52DC" w:rsidRDefault="004C112A" w:rsidP="001C52DC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C52DC">
        <w:rPr>
          <w:rFonts w:ascii="Times" w:hAnsi="Times"/>
          <w:noProof/>
          <w:sz w:val="18"/>
          <w:szCs w:val="20"/>
        </w:rPr>
        <w:t>È previsto un Seminario su System Dynamics a cura del Dottore Sandro Rossi.</w:t>
      </w:r>
    </w:p>
    <w:p w:rsidR="004C112A" w:rsidRPr="001C52DC" w:rsidRDefault="004C112A" w:rsidP="001C52DC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2"/>
          <w:lang w:eastAsia="en-US"/>
        </w:rPr>
      </w:pPr>
      <w:r w:rsidRPr="001C52DC">
        <w:rPr>
          <w:b/>
          <w:i/>
          <w:sz w:val="18"/>
          <w:szCs w:val="22"/>
          <w:lang w:eastAsia="en-US"/>
        </w:rPr>
        <w:t>METODO</w:t>
      </w:r>
      <w:r w:rsidR="00292AF1">
        <w:rPr>
          <w:b/>
          <w:i/>
          <w:sz w:val="18"/>
          <w:szCs w:val="22"/>
          <w:lang w:eastAsia="en-US"/>
        </w:rPr>
        <w:t xml:space="preserve"> E CRITERI </w:t>
      </w:r>
      <w:r w:rsidRPr="001C52DC">
        <w:rPr>
          <w:b/>
          <w:i/>
          <w:sz w:val="18"/>
          <w:szCs w:val="22"/>
          <w:lang w:eastAsia="en-US"/>
        </w:rPr>
        <w:t>DI VALUTAZIONE</w:t>
      </w:r>
    </w:p>
    <w:p w:rsidR="004C112A" w:rsidRPr="001C52DC" w:rsidRDefault="004C112A" w:rsidP="001C52DC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1C52DC">
        <w:rPr>
          <w:rFonts w:ascii="Times" w:hAnsi="Times"/>
          <w:noProof/>
          <w:sz w:val="18"/>
          <w:szCs w:val="20"/>
        </w:rPr>
        <w:t>L’esame consiste in un prova scritta (domande/esercizi con risposte aperte).</w:t>
      </w:r>
    </w:p>
    <w:p w:rsidR="004C112A" w:rsidRPr="001C52DC" w:rsidRDefault="004C112A" w:rsidP="00292AF1">
      <w:pPr>
        <w:pStyle w:val="Testo2"/>
      </w:pPr>
      <w:r w:rsidRPr="001C52DC">
        <w:t>Durante l’anno è prevista per i frequentanti una prova intermedia alla fine della prima parte</w:t>
      </w:r>
      <w:r>
        <w:t xml:space="preserve"> con una prova di completamento di pari peso al 1 appello</w:t>
      </w:r>
      <w:r w:rsidRPr="001C52DC">
        <w:t xml:space="preserve">. </w:t>
      </w:r>
      <w:r>
        <w:t>Entrambe le prove</w:t>
      </w:r>
      <w:r w:rsidRPr="001C52DC">
        <w:t xml:space="preserve"> consist</w:t>
      </w:r>
      <w:r>
        <w:t>ono</w:t>
      </w:r>
      <w:r w:rsidRPr="001C52DC">
        <w:t xml:space="preserve"> in un esercizio e </w:t>
      </w:r>
      <w:r>
        <w:t>3</w:t>
      </w:r>
      <w:r w:rsidRPr="001C52DC">
        <w:t xml:space="preserve"> o </w:t>
      </w:r>
      <w:r>
        <w:t>4</w:t>
      </w:r>
      <w:r w:rsidRPr="001C52DC">
        <w:t xml:space="preserve"> domande.</w:t>
      </w:r>
    </w:p>
    <w:p w:rsidR="00292AF1" w:rsidRPr="00D04C03" w:rsidRDefault="00292AF1" w:rsidP="00292AF1">
      <w:pPr>
        <w:pStyle w:val="Testo2"/>
        <w:rPr>
          <w:rFonts w:ascii="Times New Roman" w:hAnsi="Times New Roman"/>
          <w:szCs w:val="18"/>
        </w:rPr>
      </w:pPr>
      <w:r w:rsidRPr="0034725D">
        <w:rPr>
          <w:rFonts w:ascii="Times New Roman" w:hAnsi="Times New Roman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292AF1" w:rsidRPr="00D04C0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12A" w:rsidRDefault="004C112A" w:rsidP="001C52DC">
      <w:pPr>
        <w:spacing w:line="240" w:lineRule="auto"/>
      </w:pPr>
      <w:r>
        <w:separator/>
      </w:r>
    </w:p>
  </w:endnote>
  <w:endnote w:type="continuationSeparator" w:id="0">
    <w:p w:rsidR="004C112A" w:rsidRDefault="004C112A" w:rsidP="001C5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12A" w:rsidRDefault="004C112A" w:rsidP="001C52DC">
      <w:pPr>
        <w:spacing w:line="240" w:lineRule="auto"/>
      </w:pPr>
      <w:r>
        <w:separator/>
      </w:r>
    </w:p>
  </w:footnote>
  <w:footnote w:type="continuationSeparator" w:id="0">
    <w:p w:rsidR="004C112A" w:rsidRDefault="004C112A" w:rsidP="001C52DC">
      <w:pPr>
        <w:spacing w:line="240" w:lineRule="auto"/>
      </w:pPr>
      <w:r>
        <w:continuationSeparator/>
      </w:r>
    </w:p>
  </w:footnote>
  <w:footnote w:id="1">
    <w:p w:rsidR="00AD13B7" w:rsidRDefault="00AD13B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93BC6"/>
    <w:rsid w:val="000945A1"/>
    <w:rsid w:val="000C308B"/>
    <w:rsid w:val="00187B99"/>
    <w:rsid w:val="001C52DC"/>
    <w:rsid w:val="002014DD"/>
    <w:rsid w:val="002726DB"/>
    <w:rsid w:val="00292AF1"/>
    <w:rsid w:val="002E7368"/>
    <w:rsid w:val="003277B9"/>
    <w:rsid w:val="00371D16"/>
    <w:rsid w:val="003B31FD"/>
    <w:rsid w:val="004123EE"/>
    <w:rsid w:val="004C112A"/>
    <w:rsid w:val="004D1217"/>
    <w:rsid w:val="004D6008"/>
    <w:rsid w:val="005027BA"/>
    <w:rsid w:val="00633DBF"/>
    <w:rsid w:val="00667772"/>
    <w:rsid w:val="006766E1"/>
    <w:rsid w:val="006862AB"/>
    <w:rsid w:val="006C1BFE"/>
    <w:rsid w:val="006D3853"/>
    <w:rsid w:val="006D5374"/>
    <w:rsid w:val="006F0DB6"/>
    <w:rsid w:val="006F1772"/>
    <w:rsid w:val="0073156A"/>
    <w:rsid w:val="008808A2"/>
    <w:rsid w:val="008A1204"/>
    <w:rsid w:val="00900CCA"/>
    <w:rsid w:val="00924B77"/>
    <w:rsid w:val="00940DA2"/>
    <w:rsid w:val="009D2A50"/>
    <w:rsid w:val="009E055C"/>
    <w:rsid w:val="00A74F6F"/>
    <w:rsid w:val="00AD13B7"/>
    <w:rsid w:val="00AD6DCD"/>
    <w:rsid w:val="00AD7557"/>
    <w:rsid w:val="00B048DA"/>
    <w:rsid w:val="00B33438"/>
    <w:rsid w:val="00B51253"/>
    <w:rsid w:val="00B525CC"/>
    <w:rsid w:val="00B81C82"/>
    <w:rsid w:val="00BD0DF4"/>
    <w:rsid w:val="00CB7715"/>
    <w:rsid w:val="00D404F2"/>
    <w:rsid w:val="00DD5C7E"/>
    <w:rsid w:val="00E510BE"/>
    <w:rsid w:val="00E607E6"/>
    <w:rsid w:val="00F56D96"/>
    <w:rsid w:val="00FB286A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D3853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1C52DC"/>
    <w:pPr>
      <w:tabs>
        <w:tab w:val="clear" w:pos="284"/>
        <w:tab w:val="center" w:pos="4819"/>
        <w:tab w:val="right" w:pos="9638"/>
      </w:tabs>
      <w:spacing w:line="240" w:lineRule="auto"/>
    </w:pPr>
    <w:rPr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2DC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C52DC"/>
    <w:pPr>
      <w:tabs>
        <w:tab w:val="clear" w:pos="284"/>
        <w:tab w:val="center" w:pos="4819"/>
        <w:tab w:val="right" w:pos="9638"/>
      </w:tabs>
      <w:spacing w:line="240" w:lineRule="auto"/>
    </w:pPr>
    <w:rPr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52DC"/>
    <w:rPr>
      <w:rFonts w:cs="Times New Roman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633DB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33DB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3DB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33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33DBF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33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3DB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99"/>
    <w:qFormat/>
    <w:rsid w:val="006862AB"/>
    <w:pPr>
      <w:tabs>
        <w:tab w:val="left" w:pos="284"/>
      </w:tabs>
      <w:jc w:val="both"/>
    </w:pPr>
    <w:rPr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AD13B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13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AD13B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AD1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 w:val="20"/>
      <w:szCs w:val="24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E607E6"/>
    <w:pPr>
      <w:tabs>
        <w:tab w:val="clear" w:pos="284"/>
      </w:tabs>
      <w:spacing w:before="480"/>
      <w:ind w:left="284" w:hanging="284"/>
      <w:outlineLvl w:val="0"/>
    </w:pPr>
    <w:rPr>
      <w:rFonts w:ascii="Times" w:hAnsi="Times"/>
      <w:b/>
      <w:noProof/>
      <w:szCs w:val="20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E607E6"/>
    <w:pPr>
      <w:tabs>
        <w:tab w:val="clear" w:pos="284"/>
      </w:tabs>
      <w:outlineLvl w:val="1"/>
    </w:pPr>
    <w:rPr>
      <w:rFonts w:ascii="Times" w:hAnsi="Times"/>
      <w:smallCaps/>
      <w:noProof/>
      <w:sz w:val="18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74F6F"/>
    <w:pPr>
      <w:tabs>
        <w:tab w:val="clear" w:pos="284"/>
      </w:tabs>
      <w:spacing w:before="240" w:after="120"/>
      <w:ind w:left="284" w:hanging="284"/>
      <w:outlineLvl w:val="2"/>
    </w:pPr>
    <w:rPr>
      <w:rFonts w:ascii="Times" w:hAnsi="Times"/>
      <w:i/>
      <w:caps/>
      <w:noProof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607E6"/>
    <w:rPr>
      <w:rFonts w:ascii="Times" w:hAnsi="Times" w:cs="Times New Roman"/>
      <w:b/>
      <w:noProof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607E6"/>
    <w:rPr>
      <w:rFonts w:ascii="Times" w:hAnsi="Times" w:cs="Times New Roman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D3853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rsid w:val="001C52DC"/>
    <w:pPr>
      <w:tabs>
        <w:tab w:val="clear" w:pos="284"/>
        <w:tab w:val="center" w:pos="4819"/>
        <w:tab w:val="right" w:pos="9638"/>
      </w:tabs>
      <w:spacing w:line="240" w:lineRule="auto"/>
    </w:pPr>
    <w:rPr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52DC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1C52DC"/>
    <w:pPr>
      <w:tabs>
        <w:tab w:val="clear" w:pos="284"/>
        <w:tab w:val="center" w:pos="4819"/>
        <w:tab w:val="right" w:pos="9638"/>
      </w:tabs>
      <w:spacing w:line="240" w:lineRule="auto"/>
    </w:pPr>
    <w:rPr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52DC"/>
    <w:rPr>
      <w:rFonts w:cs="Times New Roman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633DBF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33DB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33DBF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33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33DBF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633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33DBF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99"/>
    <w:qFormat/>
    <w:rsid w:val="006862AB"/>
    <w:pPr>
      <w:tabs>
        <w:tab w:val="left" w:pos="284"/>
      </w:tabs>
      <w:jc w:val="both"/>
    </w:pPr>
    <w:rPr>
      <w:sz w:val="20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AD13B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13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AD13B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locked/>
    <w:rsid w:val="00AD1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omino-stefano-manenti-fabio-m/economia-di-internet-delle-information-and-communication-technology-9788834886137-17794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2AA2-B54E-4C54-95A9-AB2A27E3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Economia dell’innovazione e competitività</vt:lpstr>
    </vt:vector>
  </TitlesOfParts>
  <Company>U.C.S.C. MILANO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Economia dell’innovazione e competitività</dc:title>
  <dc:subject/>
  <dc:creator>s-ufgu-01-mi</dc:creator>
  <cp:keywords/>
  <dc:description/>
  <cp:lastModifiedBy>Rolli Andrea</cp:lastModifiedBy>
  <cp:revision>5</cp:revision>
  <cp:lastPrinted>2003-03-27T09:42:00Z</cp:lastPrinted>
  <dcterms:created xsi:type="dcterms:W3CDTF">2020-06-26T10:24:00Z</dcterms:created>
  <dcterms:modified xsi:type="dcterms:W3CDTF">2020-07-13T07:18:00Z</dcterms:modified>
</cp:coreProperties>
</file>