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7EA2" w14:textId="77777777" w:rsidR="00A20B89" w:rsidRDefault="00A20B89" w:rsidP="00A20B89">
      <w:pPr>
        <w:pStyle w:val="Titolo1"/>
      </w:pPr>
      <w:bookmarkStart w:id="0" w:name="_GoBack"/>
      <w:bookmarkEnd w:id="0"/>
      <w:r w:rsidRPr="00C34913">
        <w:t>Economia industriale</w:t>
      </w:r>
    </w:p>
    <w:p w14:paraId="651BF500" w14:textId="77777777" w:rsidR="00A20B89" w:rsidRDefault="00A20B89" w:rsidP="00A20B89">
      <w:pPr>
        <w:pStyle w:val="Titolo2"/>
      </w:pPr>
      <w:r w:rsidRPr="009E3400">
        <w:rPr>
          <w:szCs w:val="18"/>
        </w:rPr>
        <w:t>Prof. Fabio Montobbio</w:t>
      </w:r>
      <w:r w:rsidR="00F3324C">
        <w:rPr>
          <w:szCs w:val="18"/>
        </w:rPr>
        <w:t xml:space="preserve">; </w:t>
      </w:r>
      <w:r w:rsidRPr="00C34913">
        <w:t>Prof. Laura Solimene</w:t>
      </w:r>
    </w:p>
    <w:p w14:paraId="7C92ED45" w14:textId="77777777" w:rsidR="002D5E17" w:rsidRDefault="00A20B89" w:rsidP="00A20B89">
      <w:pPr>
        <w:spacing w:before="240" w:after="120" w:line="240" w:lineRule="exact"/>
        <w:rPr>
          <w:b/>
          <w:sz w:val="18"/>
        </w:rPr>
      </w:pPr>
      <w:r>
        <w:rPr>
          <w:b/>
          <w:i/>
          <w:sz w:val="18"/>
        </w:rPr>
        <w:t>OBIETTIVO DEL CORSO E RISULTATI DI APPRENDIMENTO ATTESI</w:t>
      </w:r>
    </w:p>
    <w:p w14:paraId="2BA55BF7" w14:textId="77777777" w:rsidR="00A20B89" w:rsidRPr="009A2FF8" w:rsidRDefault="00A20B89" w:rsidP="00A20B89">
      <w:r w:rsidRPr="009A2FF8">
        <w:t xml:space="preserve">Obiettivo del corso è inquadrare i problemi che le imprese incontrano nel loro agire all’interno dei settori industriali, soffermandosi in particolare sul modo in cui esse competono fra di loro, interfacciando la strumentazione microeconomica degli economisti con l’approccio strategico degli aziendalisti. Inoltre, l'economia industriale fornisce alcuni criteri e strumenti per l'intervento pubblico in termini di regolamentazione dei monopoli, garanzia della concorrenza, politiche di protezione della proprietà intellettuale e di supporto all'innovazione tecnologica. </w:t>
      </w:r>
    </w:p>
    <w:p w14:paraId="01C5DBCA" w14:textId="77777777" w:rsidR="00A20B89" w:rsidRPr="009A2FF8" w:rsidRDefault="00A20B89" w:rsidP="00A20B89">
      <w:pPr>
        <w:spacing w:before="120"/>
      </w:pPr>
      <w:r w:rsidRPr="009A2FF8">
        <w:t>Al termine del corso gli studenti:</w:t>
      </w:r>
    </w:p>
    <w:p w14:paraId="1E8D8BAF" w14:textId="77777777" w:rsidR="00A20B89" w:rsidRPr="009A2FF8" w:rsidRDefault="00A20B89" w:rsidP="00A20B89">
      <w:pPr>
        <w:pStyle w:val="Paragrafoelenco"/>
        <w:numPr>
          <w:ilvl w:val="0"/>
          <w:numId w:val="2"/>
        </w:numPr>
        <w:ind w:left="284" w:hanging="284"/>
        <w:rPr>
          <w:rFonts w:ascii="Times New Roman" w:hAnsi="Times New Roman"/>
        </w:rPr>
      </w:pPr>
      <w:r w:rsidRPr="009A2FF8">
        <w:rPr>
          <w:rFonts w:ascii="Times New Roman" w:hAnsi="Times New Roman"/>
        </w:rPr>
        <w:t>avranno appreso i concetti, gli strumenti e i modelli per capire il comportamento delle imprese e il funzionamento dei mercati;</w:t>
      </w:r>
    </w:p>
    <w:p w14:paraId="37346E00"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conosceranno i principali indici quantitativi e i metodi per analizzare gli effetti delle diverse strategie delle imprese e l’efficienza dei mercati;</w:t>
      </w:r>
    </w:p>
    <w:p w14:paraId="716CD40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la capacità di valutare le implicazioni delle strategie delle imprese e gli effetti sul benessere e dell’intervento dello Stato;</w:t>
      </w:r>
    </w:p>
    <w:p w14:paraId="770F3588"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avranno sviluppato categorie concettuali ed un linguaggio adatto alla comunicazione nel mondo delle imprese e della politica industriale;</w:t>
      </w:r>
    </w:p>
    <w:p w14:paraId="1D85A1B6" w14:textId="77777777" w:rsidR="00A20B89" w:rsidRPr="009A2FF8" w:rsidRDefault="00A20B89" w:rsidP="00A20B89">
      <w:pPr>
        <w:pStyle w:val="Paragrafoelenco"/>
        <w:numPr>
          <w:ilvl w:val="0"/>
          <w:numId w:val="2"/>
        </w:numPr>
        <w:spacing w:before="120"/>
        <w:ind w:left="284" w:hanging="284"/>
        <w:rPr>
          <w:rFonts w:ascii="Times New Roman" w:hAnsi="Times New Roman"/>
        </w:rPr>
      </w:pPr>
      <w:r w:rsidRPr="009A2FF8">
        <w:rPr>
          <w:rFonts w:ascii="Times New Roman" w:hAnsi="Times New Roman"/>
        </w:rPr>
        <w:t>saranno nelle condizioni di imparare e interpretare la continua evoluzione dei mercati e la loro crescente complessità.</w:t>
      </w:r>
    </w:p>
    <w:p w14:paraId="2A998DF9" w14:textId="77777777" w:rsidR="00A20B89" w:rsidRDefault="00A20B89" w:rsidP="00A20B89">
      <w:pPr>
        <w:spacing w:before="240" w:after="120" w:line="240" w:lineRule="exact"/>
        <w:rPr>
          <w:b/>
          <w:sz w:val="18"/>
        </w:rPr>
      </w:pPr>
      <w:r>
        <w:rPr>
          <w:b/>
          <w:i/>
          <w:sz w:val="18"/>
        </w:rPr>
        <w:t>PROGRAMMA DEL CORSO</w:t>
      </w:r>
    </w:p>
    <w:p w14:paraId="5FE84E8A" w14:textId="77777777" w:rsidR="00A20B89" w:rsidRDefault="00A20B89" w:rsidP="00F3324C">
      <w:pPr>
        <w:spacing w:line="240" w:lineRule="exact"/>
      </w:pPr>
      <w:r>
        <w:t>L’Economia industriale si concentra sul concetto di industria e considera i comportamenti cooperativi e non cooperativi delle imprese, sottolineando il ruolo di fattori come l’informazione incompleta, i costi di transazione, le strategie che spostano la pressione competitiva dal prezzo ad altre variabili, le barriere all’entrata che possono ridurre la concorrenza sia effettiva che potenziale.</w:t>
      </w:r>
    </w:p>
    <w:p w14:paraId="6E19F01A" w14:textId="77777777" w:rsidR="00A20B89" w:rsidRDefault="00A20B89" w:rsidP="00F3324C">
      <w:pPr>
        <w:spacing w:line="240" w:lineRule="exact"/>
      </w:pPr>
      <w:r>
        <w:t>I principali temi affrontati sono:</w:t>
      </w:r>
    </w:p>
    <w:p w14:paraId="741D0BD4" w14:textId="77777777" w:rsidR="00A20B89" w:rsidRPr="00993FC1" w:rsidRDefault="00A20B89" w:rsidP="00F3324C">
      <w:pPr>
        <w:spacing w:line="240" w:lineRule="exact"/>
        <w:ind w:left="284" w:hanging="284"/>
      </w:pPr>
      <w:r>
        <w:t>–</w:t>
      </w:r>
      <w:r>
        <w:tab/>
        <w:t>cenni sullo sviluppo industriale italiano;</w:t>
      </w:r>
    </w:p>
    <w:p w14:paraId="195BC3EC" w14:textId="77777777" w:rsidR="00A20B89" w:rsidRDefault="00A20B89" w:rsidP="00F3324C">
      <w:pPr>
        <w:spacing w:line="240" w:lineRule="exact"/>
        <w:ind w:left="284" w:hanging="284"/>
      </w:pPr>
      <w:r>
        <w:t>–</w:t>
      </w:r>
      <w:r>
        <w:tab/>
      </w:r>
      <w:r w:rsidRPr="009E3400">
        <w:t>la struttura del mercato</w:t>
      </w:r>
      <w:r>
        <w:t xml:space="preserve"> e</w:t>
      </w:r>
      <w:r w:rsidRPr="009E3400">
        <w:t xml:space="preserve"> le caratteristiche fondamenta</w:t>
      </w:r>
      <w:r>
        <w:t>li delle varie forme di mercato;</w:t>
      </w:r>
      <w:r w:rsidRPr="009E3400">
        <w:t xml:space="preserve"> in particolare le teorie che stanno alla base del fenomeno della concentrazione industriale e della collusione;</w:t>
      </w:r>
    </w:p>
    <w:p w14:paraId="7077EA9B" w14:textId="77777777" w:rsidR="00A20B89" w:rsidRDefault="00A20B89" w:rsidP="00F3324C">
      <w:pPr>
        <w:spacing w:line="240" w:lineRule="exact"/>
        <w:ind w:left="284" w:hanging="284"/>
      </w:pPr>
      <w:r>
        <w:t>–</w:t>
      </w:r>
      <w:r>
        <w:tab/>
        <w:t>la strategia delle imprese a riguardo della determinazione dei prezzi, del livello di produzione, del grado di differenziazione e delle spese in ricerca e sviluppo;</w:t>
      </w:r>
    </w:p>
    <w:p w14:paraId="43702D27" w14:textId="77777777" w:rsidR="00A20B89" w:rsidRDefault="00A20B89" w:rsidP="00F3324C">
      <w:pPr>
        <w:spacing w:line="240" w:lineRule="exact"/>
        <w:ind w:left="284" w:hanging="284"/>
      </w:pPr>
      <w:r>
        <w:t>–</w:t>
      </w:r>
      <w:r>
        <w:tab/>
        <w:t>le fusioni orizzontali, i fattori che spingono le imprese ad integrarsi verticalmente e gli incentivi invece a favore del decentramento produttivo;</w:t>
      </w:r>
    </w:p>
    <w:p w14:paraId="4180F9EC" w14:textId="77777777" w:rsidR="00A20B89" w:rsidRDefault="00A20B89" w:rsidP="00F3324C">
      <w:pPr>
        <w:spacing w:line="240" w:lineRule="exact"/>
        <w:ind w:left="284" w:hanging="284"/>
      </w:pPr>
      <w:r>
        <w:lastRenderedPageBreak/>
        <w:t>–</w:t>
      </w:r>
      <w:r>
        <w:tab/>
      </w:r>
      <w:r w:rsidRPr="009E3400">
        <w:t>le politiche pubbliche ed i loro effetti in termini di benessere sociale</w:t>
      </w:r>
      <w:r>
        <w:t xml:space="preserve"> </w:t>
      </w:r>
    </w:p>
    <w:p w14:paraId="0C00BAE3" w14:textId="77777777" w:rsidR="00A20B89" w:rsidRPr="00F3324C" w:rsidRDefault="00A20B89" w:rsidP="00F3324C">
      <w:pPr>
        <w:spacing w:before="240" w:after="120"/>
        <w:rPr>
          <w:b/>
          <w:i/>
          <w:sz w:val="18"/>
        </w:rPr>
      </w:pPr>
      <w:r>
        <w:rPr>
          <w:b/>
          <w:i/>
          <w:sz w:val="18"/>
        </w:rPr>
        <w:t>BIBLIOGRAFIA</w:t>
      </w:r>
      <w:r w:rsidR="000D1D5D">
        <w:rPr>
          <w:rStyle w:val="Rimandonotaapidipagina"/>
          <w:b/>
          <w:i/>
          <w:sz w:val="18"/>
        </w:rPr>
        <w:footnoteReference w:id="1"/>
      </w:r>
    </w:p>
    <w:p w14:paraId="130E5C60" w14:textId="77777777" w:rsidR="00A20B89" w:rsidRPr="00A20B89" w:rsidRDefault="00A20B89" w:rsidP="00F3324C">
      <w:pPr>
        <w:pStyle w:val="Testo2"/>
        <w:ind w:firstLine="0"/>
      </w:pPr>
      <w:r w:rsidRPr="00A20B89">
        <w:t>Il testo di riferimento è:</w:t>
      </w:r>
    </w:p>
    <w:p w14:paraId="28FA9469" w14:textId="77777777" w:rsidR="00A20B89" w:rsidRPr="00A20B89" w:rsidRDefault="00A20B89" w:rsidP="00A20B89">
      <w:pPr>
        <w:pStyle w:val="Testo2"/>
        <w:spacing w:line="240" w:lineRule="atLeast"/>
        <w:ind w:left="284" w:hanging="284"/>
        <w:rPr>
          <w:spacing w:val="-5"/>
        </w:rPr>
      </w:pPr>
      <w:r w:rsidRPr="00F3324C">
        <w:rPr>
          <w:smallCaps/>
          <w:spacing w:val="-5"/>
          <w:sz w:val="16"/>
          <w:lang w:val="en-US"/>
        </w:rPr>
        <w:t xml:space="preserve">J. Lipczynski-J.O.S. Wilson-J. </w:t>
      </w:r>
      <w:r w:rsidRPr="00A20B89">
        <w:rPr>
          <w:smallCaps/>
          <w:spacing w:val="-5"/>
          <w:sz w:val="16"/>
        </w:rPr>
        <w:t>Goddard,</w:t>
      </w:r>
      <w:r w:rsidRPr="00A20B89">
        <w:rPr>
          <w:i/>
          <w:spacing w:val="-5"/>
        </w:rPr>
        <w:t xml:space="preserve"> Economia industriale. Concorrenza strategie e politiche pubbliche,</w:t>
      </w:r>
      <w:r w:rsidRPr="00A20B89">
        <w:rPr>
          <w:spacing w:val="-5"/>
        </w:rPr>
        <w:t xml:space="preserve"> Pearson Italia, Milano, 2016.</w:t>
      </w:r>
      <w:r w:rsidR="000D1D5D">
        <w:rPr>
          <w:spacing w:val="-5"/>
        </w:rPr>
        <w:t xml:space="preserve"> </w:t>
      </w:r>
      <w:hyperlink r:id="rId11" w:history="1">
        <w:r w:rsidR="000D1D5D" w:rsidRPr="000D1D5D">
          <w:rPr>
            <w:rStyle w:val="Collegamentoipertestuale"/>
            <w:rFonts w:ascii="Times New Roman" w:hAnsi="Times New Roman"/>
            <w:i/>
            <w:sz w:val="16"/>
            <w:szCs w:val="16"/>
          </w:rPr>
          <w:t>Acquista da VP</w:t>
        </w:r>
      </w:hyperlink>
    </w:p>
    <w:p w14:paraId="301C4933" w14:textId="77777777" w:rsidR="00A20B89" w:rsidRPr="00A20B89" w:rsidRDefault="00A20B89" w:rsidP="00F3324C">
      <w:pPr>
        <w:pStyle w:val="Testo2"/>
        <w:spacing w:before="120"/>
        <w:ind w:left="284" w:hanging="284"/>
      </w:pPr>
      <w:r w:rsidRPr="00A20B89">
        <w:t>L’indicazione esatta dei capitoli da preparare ed eventuale materiale didattico integrativo saranno consultabili sulla piattaforma di e-learning http://blackboard.unicatt.it.</w:t>
      </w:r>
    </w:p>
    <w:p w14:paraId="48310730" w14:textId="77777777" w:rsidR="00A20B89" w:rsidRDefault="00A20B89" w:rsidP="00A20B89">
      <w:pPr>
        <w:spacing w:before="240" w:after="120"/>
        <w:rPr>
          <w:b/>
          <w:i/>
          <w:sz w:val="18"/>
        </w:rPr>
      </w:pPr>
      <w:r>
        <w:rPr>
          <w:b/>
          <w:i/>
          <w:sz w:val="18"/>
        </w:rPr>
        <w:t>DIDATTICA DEL CORSO</w:t>
      </w:r>
    </w:p>
    <w:p w14:paraId="1BED983A" w14:textId="77777777" w:rsidR="00A20B89" w:rsidRPr="009A2FF8" w:rsidRDefault="00A20B89" w:rsidP="00A20B89">
      <w:pPr>
        <w:pStyle w:val="Testo2"/>
      </w:pPr>
      <w:r w:rsidRPr="009A2FF8">
        <w:t xml:space="preserve">Il corso, erogato in modalità blended, prevede lezioni frontali </w:t>
      </w:r>
      <w:r>
        <w:t xml:space="preserve">(2/3) </w:t>
      </w:r>
      <w:r w:rsidRPr="009A2FF8">
        <w:t>ed attività in remoto (</w:t>
      </w:r>
      <w:r>
        <w:t>1/3)</w:t>
      </w:r>
      <w:r w:rsidRPr="009A2FF8">
        <w:t>. Le attività in remoto prevedono la fruizio</w:t>
      </w:r>
      <w:r>
        <w:t xml:space="preserve">ne di videolezioni (asincrone), autovalutazioni ed esercitazioni online. </w:t>
      </w:r>
    </w:p>
    <w:p w14:paraId="04F5B01B" w14:textId="77777777" w:rsidR="00A20B89" w:rsidRPr="009A2FF8" w:rsidRDefault="00A20B89" w:rsidP="00A20B89">
      <w:pPr>
        <w:pStyle w:val="Testo2"/>
        <w:spacing w:before="120"/>
      </w:pPr>
      <w:r w:rsidRPr="009A2FF8">
        <w:t xml:space="preserve">Il syllabus contenente il programma analitico del corso sarà comunicato in </w:t>
      </w:r>
      <w:r w:rsidRPr="009A2FF8">
        <w:rPr>
          <w:i/>
        </w:rPr>
        <w:t>Blackboard</w:t>
      </w:r>
      <w:r w:rsidRPr="009A2FF8">
        <w:t>.</w:t>
      </w:r>
    </w:p>
    <w:p w14:paraId="6071B6C7" w14:textId="77777777" w:rsidR="00A20B89" w:rsidRDefault="00A20B89" w:rsidP="00A20B89">
      <w:pPr>
        <w:spacing w:before="240" w:after="120"/>
        <w:rPr>
          <w:b/>
          <w:i/>
          <w:sz w:val="18"/>
        </w:rPr>
      </w:pPr>
      <w:r>
        <w:rPr>
          <w:b/>
          <w:i/>
          <w:sz w:val="18"/>
        </w:rPr>
        <w:t>METODO E CRITERI DI VALUTAZIONE</w:t>
      </w:r>
    </w:p>
    <w:p w14:paraId="057DC843" w14:textId="77777777" w:rsidR="00D62EB4" w:rsidRPr="009A2FF8" w:rsidRDefault="00D62EB4" w:rsidP="00D62EB4">
      <w:pPr>
        <w:pStyle w:val="Testo2"/>
      </w:pPr>
      <w:r>
        <w:t xml:space="preserve">La valutazione si basa su prove scritte. </w:t>
      </w:r>
      <w:r w:rsidRPr="00711698">
        <w:t>L’esame si svolge in forma scritta, si compone di tre domande ed è della durata di 90 minuti.</w:t>
      </w:r>
      <w:r>
        <w:t xml:space="preserve"> </w:t>
      </w:r>
      <w:r w:rsidRPr="00711698">
        <w:t>L’esame è volto innanzitutto a valutare la capacità di ragionamento economico, di rigore analitico e la capacità di analisi critica dei contenuti.</w:t>
      </w:r>
      <w:r w:rsidR="0010074D">
        <w:t xml:space="preserve"> Ledomande sono aperte e possono contenere elementi di analisi quantitiva, esercizi e discussione di casi.</w:t>
      </w:r>
    </w:p>
    <w:p w14:paraId="45786F42" w14:textId="4B679225" w:rsidR="00D62EB4" w:rsidRDefault="003672A6" w:rsidP="00D62EB4">
      <w:pPr>
        <w:pStyle w:val="Testo2"/>
      </w:pPr>
      <w:r>
        <w:t>In particolare d</w:t>
      </w:r>
      <w:r w:rsidR="00D62EB4">
        <w:t xml:space="preserve">ue sono i criteri valutativi adottati: in primo luogo si ritiene importante che gli studenti siano in possesso delle rilevanti conoscenze, le abbiano comprese a fondo e abbiano la capacità di derivarne le principali implicazioni per l’analisi dei settori industriali; in secondo luogo si valuta la capacità dello studente di tradurre tali conoscenze teoriche in maniera applicata, </w:t>
      </w:r>
      <w:r w:rsidR="0009277E">
        <w:t xml:space="preserve">rendendole operative </w:t>
      </w:r>
      <w:r w:rsidR="00D62EB4">
        <w:t xml:space="preserve">per risolvere autonamente esercizi economici o commentare casi specifici. </w:t>
      </w:r>
    </w:p>
    <w:p w14:paraId="3851044E" w14:textId="37228382" w:rsidR="00A20B89" w:rsidRPr="009A2FF8" w:rsidRDefault="00D62EB4" w:rsidP="00D62EB4">
      <w:pPr>
        <w:pStyle w:val="Testo2"/>
      </w:pPr>
      <w:r>
        <w:t xml:space="preserve">La combinazione di tali criteri valutativi si riflette nella struttura della prova d’esame. Tutte le prove sono infatti composte da tre domande </w:t>
      </w:r>
      <w:r w:rsidR="003672A6">
        <w:t xml:space="preserve">aperte </w:t>
      </w:r>
      <w:r>
        <w:t>che rispondono a</w:t>
      </w:r>
      <w:r w:rsidR="003672A6">
        <w:t>lla necessità di valutare</w:t>
      </w:r>
      <w:r>
        <w:t xml:space="preserve"> questi diversi aspetti</w:t>
      </w:r>
      <w:r w:rsidR="003672A6">
        <w:t xml:space="preserve"> e consentano allo studente di dimostrare i nessi causali in un</w:t>
      </w:r>
      <w:r w:rsidR="003672A6" w:rsidRPr="00711698">
        <w:t xml:space="preserve"> ragionamento economico, di</w:t>
      </w:r>
      <w:r w:rsidR="003672A6">
        <w:t xml:space="preserve"> esprimere quanto hanno compreso con</w:t>
      </w:r>
      <w:r w:rsidR="003672A6" w:rsidRPr="00711698">
        <w:t xml:space="preserve"> rigore analitico e </w:t>
      </w:r>
      <w:r w:rsidR="003672A6">
        <w:t>analizare</w:t>
      </w:r>
      <w:r w:rsidR="003672A6" w:rsidRPr="00711698">
        <w:t xml:space="preserve"> critica</w:t>
      </w:r>
      <w:r w:rsidR="003672A6">
        <w:t xml:space="preserve">mente </w:t>
      </w:r>
      <w:r w:rsidR="003672A6" w:rsidRPr="00711698">
        <w:t>i contenuti</w:t>
      </w:r>
      <w:r>
        <w:t xml:space="preserve">. Il voto di ciascuna prova è la media matematica del voto conseguito nelle </w:t>
      </w:r>
      <w:r w:rsidR="0010074D">
        <w:t>tre domande</w:t>
      </w:r>
      <w:r>
        <w:t>.</w:t>
      </w:r>
    </w:p>
    <w:p w14:paraId="171EE933" w14:textId="77777777" w:rsidR="00A20B89" w:rsidRDefault="00A20B89" w:rsidP="00A20B89">
      <w:pPr>
        <w:spacing w:before="240" w:after="120" w:line="240" w:lineRule="exact"/>
        <w:rPr>
          <w:b/>
          <w:i/>
          <w:sz w:val="18"/>
        </w:rPr>
      </w:pPr>
      <w:r>
        <w:rPr>
          <w:b/>
          <w:i/>
          <w:sz w:val="18"/>
        </w:rPr>
        <w:t>AVVERTENZE E PREREQUISITI</w:t>
      </w:r>
    </w:p>
    <w:p w14:paraId="17E4FA3C" w14:textId="77777777" w:rsidR="00A20B89" w:rsidRDefault="00F3324C" w:rsidP="00A20B89">
      <w:pPr>
        <w:pStyle w:val="Testo2"/>
      </w:pPr>
      <w:r>
        <w:t>È</w:t>
      </w:r>
      <w:r w:rsidR="00A20B89" w:rsidRPr="00A20B89">
        <w:t xml:space="preserve"> necessaria una buona conoscenza degli strumenti e dei concetti sviluppati nel corso di Economia Politica (Microeconomia). Gli studenti sono invitati a visitare la pagina personale </w:t>
      </w:r>
      <w:r w:rsidR="00A20B89" w:rsidRPr="00A20B89">
        <w:lastRenderedPageBreak/>
        <w:t>dei docenti per ottenere informazioni ulteriori e più aggiornate oltre ad eventuale materiale didattico di supporto.</w:t>
      </w:r>
    </w:p>
    <w:p w14:paraId="466085D2" w14:textId="77777777" w:rsidR="003C29F6" w:rsidRPr="00A20B89" w:rsidRDefault="003C29F6" w:rsidP="00A20B89">
      <w:pPr>
        <w:pStyle w:val="Testo2"/>
      </w:pPr>
      <w:r w:rsidRPr="003C29F6">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3C29F6" w:rsidRPr="00A20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2E16" w14:textId="77777777" w:rsidR="009702D9" w:rsidRDefault="009702D9" w:rsidP="000D1D5D">
      <w:pPr>
        <w:spacing w:line="240" w:lineRule="auto"/>
      </w:pPr>
      <w:r>
        <w:separator/>
      </w:r>
    </w:p>
  </w:endnote>
  <w:endnote w:type="continuationSeparator" w:id="0">
    <w:p w14:paraId="4B4E11F1" w14:textId="77777777" w:rsidR="009702D9" w:rsidRDefault="009702D9" w:rsidP="000D1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6824C" w14:textId="77777777" w:rsidR="009702D9" w:rsidRDefault="009702D9" w:rsidP="000D1D5D">
      <w:pPr>
        <w:spacing w:line="240" w:lineRule="auto"/>
      </w:pPr>
      <w:r>
        <w:separator/>
      </w:r>
    </w:p>
  </w:footnote>
  <w:footnote w:type="continuationSeparator" w:id="0">
    <w:p w14:paraId="2424B8CA" w14:textId="77777777" w:rsidR="009702D9" w:rsidRDefault="009702D9" w:rsidP="000D1D5D">
      <w:pPr>
        <w:spacing w:line="240" w:lineRule="auto"/>
      </w:pPr>
      <w:r>
        <w:continuationSeparator/>
      </w:r>
    </w:p>
  </w:footnote>
  <w:footnote w:id="1">
    <w:p w14:paraId="7DC6FFBD" w14:textId="77777777" w:rsidR="000D1D5D" w:rsidRDefault="000D1D5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E6A3E"/>
    <w:multiLevelType w:val="hybridMultilevel"/>
    <w:tmpl w:val="06B24A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BA167C"/>
    <w:multiLevelType w:val="hybridMultilevel"/>
    <w:tmpl w:val="9342C0FE"/>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C9"/>
    <w:rsid w:val="00002D81"/>
    <w:rsid w:val="0009277E"/>
    <w:rsid w:val="000D1D5D"/>
    <w:rsid w:val="0010074D"/>
    <w:rsid w:val="001154ED"/>
    <w:rsid w:val="00187B99"/>
    <w:rsid w:val="002014DD"/>
    <w:rsid w:val="002D5E17"/>
    <w:rsid w:val="003672A6"/>
    <w:rsid w:val="003C29F6"/>
    <w:rsid w:val="00401207"/>
    <w:rsid w:val="004D1217"/>
    <w:rsid w:val="004D6008"/>
    <w:rsid w:val="00565D04"/>
    <w:rsid w:val="00640794"/>
    <w:rsid w:val="00681422"/>
    <w:rsid w:val="006F1772"/>
    <w:rsid w:val="008376C9"/>
    <w:rsid w:val="008942E7"/>
    <w:rsid w:val="008A1204"/>
    <w:rsid w:val="00900CCA"/>
    <w:rsid w:val="00924B77"/>
    <w:rsid w:val="00940DA2"/>
    <w:rsid w:val="009702D9"/>
    <w:rsid w:val="009E055C"/>
    <w:rsid w:val="00A20B89"/>
    <w:rsid w:val="00A74F6F"/>
    <w:rsid w:val="00AD7557"/>
    <w:rsid w:val="00B34869"/>
    <w:rsid w:val="00B50C5D"/>
    <w:rsid w:val="00B51253"/>
    <w:rsid w:val="00B525CC"/>
    <w:rsid w:val="00D404F2"/>
    <w:rsid w:val="00D62EB4"/>
    <w:rsid w:val="00E607E6"/>
    <w:rsid w:val="00F33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D2736"/>
  <w15:docId w15:val="{80476781-EAC2-4732-9AF6-D2211FD7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20B89"/>
    <w:pPr>
      <w:spacing w:line="240" w:lineRule="exact"/>
      <w:ind w:left="720"/>
      <w:contextualSpacing/>
    </w:pPr>
    <w:rPr>
      <w:rFonts w:ascii="Times" w:hAnsi="Times"/>
      <w:szCs w:val="20"/>
    </w:rPr>
  </w:style>
  <w:style w:type="character" w:styleId="Collegamentoipertestuale">
    <w:name w:val="Hyperlink"/>
    <w:basedOn w:val="Carpredefinitoparagrafo"/>
    <w:unhideWhenUsed/>
    <w:rsid w:val="00A20B89"/>
    <w:rPr>
      <w:color w:val="0563C1" w:themeColor="hyperlink"/>
      <w:u w:val="single"/>
    </w:rPr>
  </w:style>
  <w:style w:type="paragraph" w:styleId="Testonotaapidipagina">
    <w:name w:val="footnote text"/>
    <w:basedOn w:val="Normale"/>
    <w:link w:val="TestonotaapidipaginaCarattere"/>
    <w:rsid w:val="000D1D5D"/>
    <w:pPr>
      <w:spacing w:line="240" w:lineRule="auto"/>
    </w:pPr>
    <w:rPr>
      <w:szCs w:val="20"/>
    </w:rPr>
  </w:style>
  <w:style w:type="character" w:customStyle="1" w:styleId="TestonotaapidipaginaCarattere">
    <w:name w:val="Testo nota a piè di pagina Carattere"/>
    <w:basedOn w:val="Carpredefinitoparagrafo"/>
    <w:link w:val="Testonotaapidipagina"/>
    <w:rsid w:val="000D1D5D"/>
  </w:style>
  <w:style w:type="character" w:styleId="Rimandonotaapidipagina">
    <w:name w:val="footnote reference"/>
    <w:basedOn w:val="Carpredefinitoparagrafo"/>
    <w:rsid w:val="000D1D5D"/>
    <w:rPr>
      <w:vertAlign w:val="superscript"/>
    </w:rPr>
  </w:style>
  <w:style w:type="character" w:styleId="Rimandocommento">
    <w:name w:val="annotation reference"/>
    <w:basedOn w:val="Carpredefinitoparagrafo"/>
    <w:semiHidden/>
    <w:unhideWhenUsed/>
    <w:rsid w:val="00B34869"/>
    <w:rPr>
      <w:sz w:val="16"/>
      <w:szCs w:val="16"/>
    </w:rPr>
  </w:style>
  <w:style w:type="paragraph" w:styleId="Testocommento">
    <w:name w:val="annotation text"/>
    <w:basedOn w:val="Normale"/>
    <w:link w:val="TestocommentoCarattere"/>
    <w:semiHidden/>
    <w:unhideWhenUsed/>
    <w:rsid w:val="00B34869"/>
    <w:pPr>
      <w:spacing w:line="240" w:lineRule="auto"/>
    </w:pPr>
    <w:rPr>
      <w:szCs w:val="20"/>
    </w:rPr>
  </w:style>
  <w:style w:type="character" w:customStyle="1" w:styleId="TestocommentoCarattere">
    <w:name w:val="Testo commento Carattere"/>
    <w:basedOn w:val="Carpredefinitoparagrafo"/>
    <w:link w:val="Testocommento"/>
    <w:semiHidden/>
    <w:rsid w:val="00B34869"/>
  </w:style>
  <w:style w:type="paragraph" w:styleId="Soggettocommento">
    <w:name w:val="annotation subject"/>
    <w:basedOn w:val="Testocommento"/>
    <w:next w:val="Testocommento"/>
    <w:link w:val="SoggettocommentoCarattere"/>
    <w:semiHidden/>
    <w:unhideWhenUsed/>
    <w:rsid w:val="00B34869"/>
    <w:rPr>
      <w:b/>
      <w:bCs/>
    </w:rPr>
  </w:style>
  <w:style w:type="character" w:customStyle="1" w:styleId="SoggettocommentoCarattere">
    <w:name w:val="Soggetto commento Carattere"/>
    <w:basedOn w:val="TestocommentoCarattere"/>
    <w:link w:val="Soggettocommento"/>
    <w:semiHidden/>
    <w:rsid w:val="00B34869"/>
    <w:rPr>
      <w:b/>
      <w:bCs/>
    </w:rPr>
  </w:style>
  <w:style w:type="paragraph" w:styleId="Testofumetto">
    <w:name w:val="Balloon Text"/>
    <w:basedOn w:val="Normale"/>
    <w:link w:val="TestofumettoCarattere"/>
    <w:semiHidden/>
    <w:unhideWhenUsed/>
    <w:rsid w:val="00B348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3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scheda-libro/john-lipczynski-john-o-wilson-john-goddard/economia-industriale-concorrenza-strategie-e-politiche-pubbliche-9788891901132-241620.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6C74-3C31-4B5D-A7BD-1D0F4BD24A7B}">
  <ds:schemaRefs>
    <ds:schemaRef ds:uri="http://schemas.microsoft.com/office/2006/documentManagement/types"/>
    <ds:schemaRef ds:uri="http://purl.org/dc/elements/1.1/"/>
    <ds:schemaRef ds:uri="8326b387-fbad-4b35-ae86-7b277b7bbd49"/>
    <ds:schemaRef ds:uri="http://www.w3.org/XML/1998/namespace"/>
    <ds:schemaRef ds:uri="http://schemas.microsoft.com/office/2006/metadata/properties"/>
    <ds:schemaRef ds:uri="http://schemas.microsoft.com/office/infopath/2007/PartnerControls"/>
    <ds:schemaRef ds:uri="http://purl.org/dc/terms/"/>
    <ds:schemaRef ds:uri="3e4255e8-797e-4548-ac89-1789c2211914"/>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C7F2BAD-2EC1-499C-B054-0634FEFFDC16}">
  <ds:schemaRefs>
    <ds:schemaRef ds:uri="http://schemas.microsoft.com/sharepoint/v3/contenttype/forms"/>
  </ds:schemaRefs>
</ds:datastoreItem>
</file>

<file path=customXml/itemProps3.xml><?xml version="1.0" encoding="utf-8"?>
<ds:datastoreItem xmlns:ds="http://schemas.openxmlformats.org/officeDocument/2006/customXml" ds:itemID="{AA23D2E8-2A20-4736-872B-F8FDE89F7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F9956D-6611-4F75-904F-28EFEF20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726</Words>
  <Characters>4628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2021-02-24T13:51:00Z</dcterms:created>
  <dcterms:modified xsi:type="dcterms:W3CDTF">2021-02-24T13:51:00Z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