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D38E" w14:textId="77777777" w:rsidR="002D5E17" w:rsidRDefault="00714EBE" w:rsidP="00714EBE">
      <w:pPr>
        <w:pStyle w:val="Titolo1"/>
      </w:pPr>
      <w:r w:rsidRPr="00714EBE">
        <w:t xml:space="preserve">Economia </w:t>
      </w:r>
      <w:r>
        <w:t>a</w:t>
      </w:r>
      <w:r w:rsidR="0033437D">
        <w:t>ziendale</w:t>
      </w:r>
    </w:p>
    <w:p w14:paraId="021BD577" w14:textId="77777777" w:rsidR="00714EBE" w:rsidRPr="00BD5D79" w:rsidRDefault="00714EBE" w:rsidP="00714EBE">
      <w:pPr>
        <w:pStyle w:val="Titolo2"/>
      </w:pPr>
      <w:r>
        <w:t>Prof. Stefano Colli-Lanzi; Prof. Giacomo Magnani</w:t>
      </w:r>
    </w:p>
    <w:p w14:paraId="00D8F8C5" w14:textId="77777777" w:rsidR="00714EBE" w:rsidRDefault="00714EBE" w:rsidP="00714EBE">
      <w:pPr>
        <w:spacing w:before="240" w:after="120" w:line="240" w:lineRule="exact"/>
        <w:jc w:val="both"/>
        <w:rPr>
          <w:b/>
          <w:sz w:val="18"/>
        </w:rPr>
      </w:pPr>
      <w:r>
        <w:rPr>
          <w:b/>
          <w:i/>
          <w:sz w:val="18"/>
        </w:rPr>
        <w:t>OBIETTIVO DEL CORSO E RISULTATI DI APPRENDIMENTO ATTESI</w:t>
      </w:r>
    </w:p>
    <w:p w14:paraId="1ECC5C70" w14:textId="77777777" w:rsidR="00714EBE" w:rsidRPr="00714EBE" w:rsidRDefault="00714EBE" w:rsidP="0033437D">
      <w:pPr>
        <w:spacing w:line="240" w:lineRule="exact"/>
        <w:jc w:val="both"/>
        <w:rPr>
          <w:rFonts w:ascii="Times" w:hAnsi="Times" w:cs="Times"/>
          <w:sz w:val="20"/>
        </w:rPr>
      </w:pPr>
      <w:r w:rsidRPr="00714EBE">
        <w:rPr>
          <w:rFonts w:ascii="Times" w:hAnsi="Times" w:cs="Times"/>
          <w:sz w:val="20"/>
        </w:rPr>
        <w:t>Il corso, introduttivo alle discipline economico-aziendali, ha l’obiettivo di presentare allo studente:</w:t>
      </w:r>
    </w:p>
    <w:p w14:paraId="2102E80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 natura e la varietà delle aziende;</w:t>
      </w:r>
    </w:p>
    <w:p w14:paraId="078B6BAF"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i principi e il linguaggio tipico dell’Economia Aziendale;</w:t>
      </w:r>
    </w:p>
    <w:p w14:paraId="0AAED755"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 xml:space="preserve">la logica delle rilevazioni contabili e del metodo della partita doppia. </w:t>
      </w:r>
    </w:p>
    <w:p w14:paraId="70877CEE" w14:textId="77777777" w:rsidR="00714EBE" w:rsidRPr="00CE150B" w:rsidRDefault="00714EBE" w:rsidP="0033437D">
      <w:pPr>
        <w:spacing w:before="120" w:line="240" w:lineRule="exact"/>
        <w:jc w:val="both"/>
        <w:rPr>
          <w:rFonts w:ascii="Times" w:hAnsi="Times" w:cs="Times"/>
          <w:sz w:val="20"/>
        </w:rPr>
      </w:pPr>
      <w:r w:rsidRPr="00CE150B">
        <w:rPr>
          <w:rFonts w:ascii="Times" w:hAnsi="Times" w:cs="Times"/>
          <w:sz w:val="20"/>
        </w:rPr>
        <w:t xml:space="preserve">Al termine del corso gli studenti </w:t>
      </w:r>
      <w:r w:rsidR="00217944" w:rsidRPr="00CE150B">
        <w:rPr>
          <w:rFonts w:ascii="Times" w:hAnsi="Times" w:cs="Times"/>
          <w:sz w:val="20"/>
        </w:rPr>
        <w:t>avranno</w:t>
      </w:r>
      <w:r w:rsidRPr="00CE150B">
        <w:rPr>
          <w:rFonts w:ascii="Times" w:hAnsi="Times" w:cs="Times"/>
          <w:sz w:val="20"/>
        </w:rPr>
        <w:t xml:space="preserve">: </w:t>
      </w:r>
    </w:p>
    <w:p w14:paraId="18D09CA1" w14:textId="77777777" w:rsidR="002D4F83"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i principi fondamentali e il linguaggio tipico dell’Eco</w:t>
      </w:r>
      <w:r w:rsidR="002D4F83" w:rsidRPr="002D4F83">
        <w:rPr>
          <w:rFonts w:ascii="Times" w:hAnsi="Times" w:cs="Times"/>
          <w:sz w:val="20"/>
        </w:rPr>
        <w:t>nomia aziendale</w:t>
      </w:r>
      <w:r w:rsidR="002D4F83">
        <w:rPr>
          <w:rFonts w:ascii="Times" w:hAnsi="Times" w:cs="Times"/>
          <w:sz w:val="20"/>
        </w:rPr>
        <w:t>;</w:t>
      </w:r>
    </w:p>
    <w:p w14:paraId="16158669" w14:textId="77777777" w:rsidR="00714EBE"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assu</w:t>
      </w:r>
      <w:r w:rsidR="00217944">
        <w:rPr>
          <w:rFonts w:ascii="Times" w:hAnsi="Times" w:cs="Times"/>
          <w:sz w:val="20"/>
        </w:rPr>
        <w:t>nto</w:t>
      </w:r>
      <w:r w:rsidR="00714EBE" w:rsidRPr="002D4F83">
        <w:rPr>
          <w:rFonts w:ascii="Times" w:hAnsi="Times" w:cs="Times"/>
          <w:sz w:val="20"/>
        </w:rPr>
        <w:t xml:space="preserve"> una prospettiva di analisi che privilegi le relazioni di interdipendenza tra il sistema delle ope</w:t>
      </w:r>
      <w:r>
        <w:rPr>
          <w:rFonts w:ascii="Times" w:hAnsi="Times" w:cs="Times"/>
          <w:sz w:val="20"/>
        </w:rPr>
        <w:t>razioni e il sistema dei valori;</w:t>
      </w:r>
    </w:p>
    <w:p w14:paraId="52D22D48" w14:textId="77777777" w:rsidR="00714EBE"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la padronanza della logica delle rilevazioni contabili e </w:t>
      </w:r>
      <w:r w:rsidR="002D4F83">
        <w:rPr>
          <w:rFonts w:ascii="Times" w:hAnsi="Times" w:cs="Times"/>
          <w:sz w:val="20"/>
        </w:rPr>
        <w:t>del metodo della partita doppia;</w:t>
      </w:r>
    </w:p>
    <w:p w14:paraId="641FF367" w14:textId="77777777" w:rsidR="002D4F83" w:rsidRPr="002D4F83" w:rsidRDefault="00217944" w:rsidP="002D4F83">
      <w:pPr>
        <w:pStyle w:val="Paragrafoelenco"/>
        <w:numPr>
          <w:ilvl w:val="0"/>
          <w:numId w:val="9"/>
        </w:numPr>
        <w:spacing w:line="240" w:lineRule="exact"/>
        <w:jc w:val="both"/>
        <w:rPr>
          <w:rFonts w:ascii="Times" w:hAnsi="Times" w:cs="Times"/>
          <w:sz w:val="20"/>
        </w:rPr>
      </w:pPr>
      <w:r>
        <w:rPr>
          <w:rFonts w:ascii="Times" w:hAnsi="Times" w:cs="Times"/>
          <w:sz w:val="20"/>
        </w:rPr>
        <w:t>sviluppato capacità di</w:t>
      </w:r>
      <w:r w:rsidR="002D4F83" w:rsidRPr="002D4F83">
        <w:rPr>
          <w:rFonts w:ascii="Times" w:hAnsi="Times" w:cs="Times"/>
          <w:sz w:val="20"/>
        </w:rPr>
        <w:t xml:space="preserve"> comunicare in modo chiaro e con un linguaggio tecnico le conoscenze acquisite e le valutazioni effettuate</w:t>
      </w:r>
      <w:r w:rsidR="002D4F83">
        <w:rPr>
          <w:rFonts w:ascii="Times" w:hAnsi="Times" w:cs="Times"/>
          <w:sz w:val="20"/>
        </w:rPr>
        <w:t>;</w:t>
      </w:r>
    </w:p>
    <w:p w14:paraId="38C9A4DD" w14:textId="77777777" w:rsidR="002D4F83"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sviluppato capacità di apprendimento che consenta di affrontare lo studio futuro</w:t>
      </w:r>
      <w:r>
        <w:rPr>
          <w:rFonts w:ascii="Times" w:hAnsi="Times" w:cs="Times"/>
          <w:sz w:val="20"/>
        </w:rPr>
        <w:t>,</w:t>
      </w:r>
      <w:r w:rsidRPr="002D4F83">
        <w:rPr>
          <w:rFonts w:ascii="Times" w:hAnsi="Times" w:cs="Times"/>
          <w:sz w:val="20"/>
        </w:rPr>
        <w:t xml:space="preserve"> in particolare delle materie economico-aziendali.</w:t>
      </w:r>
    </w:p>
    <w:p w14:paraId="2AC68216" w14:textId="77777777" w:rsidR="00714EBE" w:rsidRDefault="00714EBE" w:rsidP="0033437D">
      <w:pPr>
        <w:spacing w:before="240" w:after="120" w:line="240" w:lineRule="exact"/>
        <w:jc w:val="both"/>
        <w:rPr>
          <w:b/>
          <w:sz w:val="18"/>
        </w:rPr>
      </w:pPr>
      <w:r>
        <w:rPr>
          <w:b/>
          <w:i/>
          <w:sz w:val="18"/>
        </w:rPr>
        <w:t>PROGRAMMA DEL CORSO</w:t>
      </w:r>
    </w:p>
    <w:p w14:paraId="1C794AA1" w14:textId="77777777" w:rsidR="00714EBE" w:rsidRPr="0033437D" w:rsidRDefault="00714EBE" w:rsidP="0033437D">
      <w:pPr>
        <w:spacing w:line="240" w:lineRule="exact"/>
        <w:jc w:val="both"/>
        <w:rPr>
          <w:b/>
          <w:sz w:val="16"/>
        </w:rPr>
      </w:pPr>
      <w:r w:rsidRPr="0033437D">
        <w:rPr>
          <w:smallCaps/>
          <w:sz w:val="18"/>
          <w:szCs w:val="20"/>
        </w:rPr>
        <w:t>Primo semestre – parte prima</w:t>
      </w:r>
    </w:p>
    <w:p w14:paraId="7430C4A6" w14:textId="77777777" w:rsidR="00714EBE" w:rsidRPr="00714EBE" w:rsidRDefault="00714EBE" w:rsidP="0033437D">
      <w:pPr>
        <w:spacing w:line="240" w:lineRule="exact"/>
        <w:rPr>
          <w:i/>
          <w:sz w:val="20"/>
          <w:szCs w:val="20"/>
        </w:rPr>
      </w:pPr>
      <w:r w:rsidRPr="00714EBE">
        <w:rPr>
          <w:i/>
          <w:sz w:val="20"/>
          <w:szCs w:val="20"/>
        </w:rPr>
        <w:t>Natura, finalità e struttura delle aziende</w:t>
      </w:r>
    </w:p>
    <w:p w14:paraId="0DF4FD0F"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Presentazione del corso.</w:t>
      </w:r>
    </w:p>
    <w:p w14:paraId="0A9CD988"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Le persone, l’attività economica, l’economia aziendale.</w:t>
      </w:r>
    </w:p>
    <w:p w14:paraId="3E51E8E9"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 specializzazione economica. Gli istituti, le aziende.</w:t>
      </w:r>
    </w:p>
    <w:p w14:paraId="6760F674"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 varietà delle aziende.</w:t>
      </w:r>
    </w:p>
    <w:p w14:paraId="0DDBA8BE"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Modelli di riferimento per l’analisi dell’azienda.</w:t>
      </w:r>
    </w:p>
    <w:p w14:paraId="3EE54A61"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Gli assetti istituzionali. Interessi convergenti.</w:t>
      </w:r>
    </w:p>
    <w:p w14:paraId="7D633E68"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Modelli di assetti proprietari e di governo. Le finalità delle imprese.</w:t>
      </w:r>
    </w:p>
    <w:p w14:paraId="635E0D7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L’articolazione delle combinazioni economiche. Coordinazioni economiche parziali e combinazioni economiche parziali. Le varianti per le differenti classi di imprese.</w:t>
      </w:r>
    </w:p>
    <w:p w14:paraId="2A36BD6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Le condizioni di produzione: l’organismo personale.</w:t>
      </w:r>
    </w:p>
    <w:p w14:paraId="110C32D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Le condizioni di produzione: il patrimonio.</w:t>
      </w:r>
    </w:p>
    <w:p w14:paraId="1C064A14" w14:textId="77777777" w:rsidR="00714EBE" w:rsidRPr="0033437D" w:rsidRDefault="00714EBE" w:rsidP="0033437D">
      <w:pPr>
        <w:spacing w:before="120" w:line="240" w:lineRule="exact"/>
        <w:jc w:val="both"/>
        <w:rPr>
          <w:smallCaps/>
          <w:sz w:val="18"/>
          <w:szCs w:val="20"/>
        </w:rPr>
      </w:pPr>
      <w:r w:rsidRPr="0033437D">
        <w:rPr>
          <w:smallCaps/>
          <w:sz w:val="18"/>
          <w:szCs w:val="20"/>
        </w:rPr>
        <w:lastRenderedPageBreak/>
        <w:t>Parte seconda</w:t>
      </w:r>
    </w:p>
    <w:p w14:paraId="3854A60D" w14:textId="77777777" w:rsidR="00714EBE" w:rsidRPr="00714EBE" w:rsidRDefault="00714EBE" w:rsidP="0033437D">
      <w:pPr>
        <w:spacing w:line="240" w:lineRule="exact"/>
        <w:rPr>
          <w:i/>
          <w:sz w:val="20"/>
          <w:szCs w:val="20"/>
        </w:rPr>
      </w:pPr>
      <w:r w:rsidRPr="00714EBE">
        <w:rPr>
          <w:i/>
          <w:sz w:val="20"/>
          <w:szCs w:val="20"/>
        </w:rPr>
        <w:t>Gestione strategica e gestione operativa</w:t>
      </w:r>
    </w:p>
    <w:p w14:paraId="227310D3"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L'ambiente, il mercato, il settore, il sistema competitivo.</w:t>
      </w:r>
    </w:p>
    <w:p w14:paraId="335928CC"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Il sistema di prodotto, la formula competitiva, i fattori critici di successo.</w:t>
      </w:r>
    </w:p>
    <w:p w14:paraId="7E7EF226"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Il vantaggio competitivo, la scelta dei segmenti di mercato, le strategie competitive di base.</w:t>
      </w:r>
    </w:p>
    <w:p w14:paraId="671C860D"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La capacità produttiva, le economie di scala, di apprendimento e di saturazione della capacità.</w:t>
      </w:r>
    </w:p>
    <w:p w14:paraId="4C4F9071"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 xml:space="preserve">Le scelte di estensione verticale e orizzontale. </w:t>
      </w:r>
    </w:p>
    <w:p w14:paraId="23651239"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L'organizzazione economica. Gli aggregati di aziende.</w:t>
      </w:r>
    </w:p>
    <w:p w14:paraId="7778E002" w14:textId="77777777" w:rsidR="00714EBE" w:rsidRPr="0033437D" w:rsidRDefault="00714EBE" w:rsidP="0033437D">
      <w:pPr>
        <w:spacing w:before="120" w:line="240" w:lineRule="exact"/>
        <w:jc w:val="both"/>
        <w:rPr>
          <w:smallCaps/>
          <w:sz w:val="18"/>
          <w:szCs w:val="20"/>
        </w:rPr>
      </w:pPr>
      <w:r w:rsidRPr="0033437D">
        <w:rPr>
          <w:smallCaps/>
          <w:sz w:val="18"/>
          <w:szCs w:val="20"/>
        </w:rPr>
        <w:t>Parte terza</w:t>
      </w:r>
    </w:p>
    <w:p w14:paraId="73369B9E" w14:textId="77777777" w:rsidR="00714EBE" w:rsidRPr="00714EBE" w:rsidRDefault="00714EBE" w:rsidP="0033437D">
      <w:pPr>
        <w:spacing w:line="240" w:lineRule="exact"/>
        <w:rPr>
          <w:i/>
          <w:sz w:val="20"/>
          <w:szCs w:val="20"/>
        </w:rPr>
      </w:pPr>
      <w:r w:rsidRPr="00714EBE">
        <w:rPr>
          <w:i/>
          <w:sz w:val="20"/>
          <w:szCs w:val="20"/>
        </w:rPr>
        <w:t>Organizzazione</w:t>
      </w:r>
    </w:p>
    <w:p w14:paraId="10FCF603"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 xml:space="preserve">L'assetto organizzativo. Le scelte di organizzazione. Le strutture organizzative di base. Le forme elementare, funzionale, divisionale, matriciale e mista. </w:t>
      </w:r>
    </w:p>
    <w:p w14:paraId="53767D12"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I sistemi operativi. I sistemi di pianificazione, programmazione e informazione. I sistemi di gestione del personale.</w:t>
      </w:r>
    </w:p>
    <w:p w14:paraId="03A90D49" w14:textId="77777777" w:rsidR="00714EBE" w:rsidRPr="0033437D" w:rsidRDefault="00714EBE" w:rsidP="0033437D">
      <w:pPr>
        <w:spacing w:before="120" w:line="240" w:lineRule="exact"/>
        <w:jc w:val="both"/>
        <w:rPr>
          <w:smallCaps/>
          <w:sz w:val="18"/>
          <w:szCs w:val="20"/>
        </w:rPr>
      </w:pPr>
      <w:r w:rsidRPr="0033437D">
        <w:rPr>
          <w:smallCaps/>
          <w:sz w:val="18"/>
          <w:szCs w:val="20"/>
        </w:rPr>
        <w:t>Parte quarta</w:t>
      </w:r>
    </w:p>
    <w:p w14:paraId="076F52A9" w14:textId="77777777" w:rsidR="00714EBE" w:rsidRPr="00714EBE" w:rsidRDefault="00714EBE" w:rsidP="0033437D">
      <w:pPr>
        <w:spacing w:line="240" w:lineRule="exact"/>
        <w:rPr>
          <w:i/>
          <w:sz w:val="20"/>
          <w:szCs w:val="20"/>
        </w:rPr>
      </w:pPr>
      <w:r w:rsidRPr="00714EBE">
        <w:rPr>
          <w:i/>
          <w:sz w:val="20"/>
          <w:szCs w:val="20"/>
        </w:rPr>
        <w:t xml:space="preserve">Rilevazione </w:t>
      </w:r>
    </w:p>
    <w:p w14:paraId="54C2C628"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 xml:space="preserve">L'economicità. L'equilibrio istituzionale e l'equilibrio economico. </w:t>
      </w:r>
    </w:p>
    <w:p w14:paraId="4F38BF2D" w14:textId="77777777" w:rsidR="00714EBE" w:rsidRPr="0033437D" w:rsidRDefault="00714EBE" w:rsidP="0033437D">
      <w:pPr>
        <w:spacing w:before="120" w:line="240" w:lineRule="exact"/>
        <w:jc w:val="both"/>
        <w:rPr>
          <w:smallCaps/>
          <w:sz w:val="18"/>
          <w:szCs w:val="20"/>
        </w:rPr>
      </w:pPr>
      <w:r w:rsidRPr="0033437D">
        <w:rPr>
          <w:smallCaps/>
          <w:sz w:val="18"/>
          <w:szCs w:val="20"/>
        </w:rPr>
        <w:t>Secondo semestre – parte quinta</w:t>
      </w:r>
    </w:p>
    <w:p w14:paraId="4F0B0899" w14:textId="77777777" w:rsidR="00714EBE" w:rsidRPr="00714EBE" w:rsidRDefault="00714EBE" w:rsidP="0033437D">
      <w:pPr>
        <w:spacing w:line="240" w:lineRule="exact"/>
        <w:rPr>
          <w:i/>
          <w:sz w:val="20"/>
          <w:szCs w:val="20"/>
        </w:rPr>
      </w:pPr>
      <w:r w:rsidRPr="00714EBE">
        <w:rPr>
          <w:i/>
          <w:sz w:val="20"/>
          <w:szCs w:val="20"/>
        </w:rPr>
        <w:t>Bilancio e registrazioni contabili</w:t>
      </w:r>
    </w:p>
    <w:p w14:paraId="7555BAF5"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L’equazione di bilancio ed il principio di competenza.</w:t>
      </w:r>
    </w:p>
    <w:p w14:paraId="74F23FFD"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Le rilevazioni contabili e la costruzione del bilancio di esercizio.</w:t>
      </w:r>
    </w:p>
    <w:p w14:paraId="0C8DB7D6"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Registrazioni contabili: conferimenti; il ciclo degli acquisti e delle vendite.</w:t>
      </w:r>
    </w:p>
    <w:p w14:paraId="33D24803"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Registrazioni contabili: il ciclo del lavoro, le operazioni di finanziamento.</w:t>
      </w:r>
    </w:p>
    <w:p w14:paraId="25216891"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Registrazioni contabili: esercitazione.</w:t>
      </w:r>
    </w:p>
    <w:p w14:paraId="0DB5557A"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 xml:space="preserve">Registrazioni contabili: scritture di assestamento. </w:t>
      </w:r>
    </w:p>
    <w:p w14:paraId="009CD1C9"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Registrazioni contabili: esercitazione.</w:t>
      </w:r>
    </w:p>
    <w:p w14:paraId="1B28C2CB"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Registrazioni contabili: scritture di chiusura e tavole di sintesi.</w:t>
      </w:r>
    </w:p>
    <w:p w14:paraId="05C5B720"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Registrazioni contabili e bilancio: esercitazione.</w:t>
      </w:r>
    </w:p>
    <w:p w14:paraId="0D0EE948"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Le determinanti dei risultati reddituali. Redditività, solidità e liquidità dell’azienda. La leva finanziaria.</w:t>
      </w:r>
    </w:p>
    <w:p w14:paraId="10183627" w14:textId="77777777" w:rsidR="00714EBE" w:rsidRPr="00714EBE" w:rsidRDefault="00714EBE" w:rsidP="0033437D">
      <w:pPr>
        <w:spacing w:line="240" w:lineRule="exact"/>
        <w:ind w:left="284" w:hanging="284"/>
        <w:rPr>
          <w:sz w:val="20"/>
          <w:szCs w:val="20"/>
        </w:rPr>
      </w:pPr>
      <w:r w:rsidRPr="00714EBE">
        <w:rPr>
          <w:sz w:val="20"/>
          <w:szCs w:val="20"/>
        </w:rPr>
        <w:t>–</w:t>
      </w:r>
      <w:r w:rsidRPr="00714EBE">
        <w:rPr>
          <w:sz w:val="20"/>
          <w:szCs w:val="20"/>
        </w:rPr>
        <w:tab/>
        <w:t>Le scelte di struttura dei costi. Costi fissi e costi variabili. Costi totali e costi unitari. Il punto di pareggio.</w:t>
      </w:r>
    </w:p>
    <w:p w14:paraId="0BE240D6" w14:textId="77777777" w:rsidR="00714EBE" w:rsidRPr="0033437D" w:rsidRDefault="00714EBE" w:rsidP="0033437D">
      <w:pPr>
        <w:spacing w:before="240" w:after="120" w:line="220" w:lineRule="exact"/>
        <w:jc w:val="both"/>
        <w:rPr>
          <w:b/>
          <w:i/>
          <w:sz w:val="18"/>
        </w:rPr>
      </w:pPr>
      <w:r>
        <w:rPr>
          <w:b/>
          <w:i/>
          <w:sz w:val="18"/>
        </w:rPr>
        <w:t>BIBLIOGRAFIA</w:t>
      </w:r>
      <w:r w:rsidR="00A81C01">
        <w:rPr>
          <w:rStyle w:val="Rimandonotaapidipagina"/>
          <w:b/>
          <w:i/>
          <w:sz w:val="18"/>
        </w:rPr>
        <w:footnoteReference w:id="1"/>
      </w:r>
    </w:p>
    <w:p w14:paraId="01DE1897" w14:textId="77777777" w:rsidR="00714EBE" w:rsidRPr="00714EBE" w:rsidRDefault="00714EBE" w:rsidP="00714EBE">
      <w:pPr>
        <w:pStyle w:val="Testo1"/>
        <w:spacing w:before="0" w:line="240" w:lineRule="atLeast"/>
        <w:rPr>
          <w:spacing w:val="-5"/>
        </w:rPr>
      </w:pPr>
      <w:r w:rsidRPr="00714EBE">
        <w:rPr>
          <w:smallCaps/>
          <w:spacing w:val="-5"/>
          <w:sz w:val="16"/>
        </w:rPr>
        <w:lastRenderedPageBreak/>
        <w:t>G. Airoldi-G. Brunetti-V. Coda,</w:t>
      </w:r>
      <w:r w:rsidRPr="00714EBE">
        <w:rPr>
          <w:i/>
          <w:spacing w:val="-5"/>
        </w:rPr>
        <w:t xml:space="preserve"> Corso di economia aziendale,</w:t>
      </w:r>
      <w:r w:rsidRPr="00714EBE">
        <w:rPr>
          <w:spacing w:val="-5"/>
        </w:rPr>
        <w:t xml:space="preserve"> Il Mulino, Bologna, 2005.</w:t>
      </w:r>
      <w:r w:rsidR="00A81C01">
        <w:rPr>
          <w:spacing w:val="-5"/>
        </w:rPr>
        <w:t xml:space="preserve"> </w:t>
      </w:r>
      <w:hyperlink r:id="rId8" w:history="1">
        <w:r w:rsidR="00A81C01" w:rsidRPr="00A81C01">
          <w:rPr>
            <w:rStyle w:val="Collegamentoipertestuale"/>
            <w:rFonts w:ascii="Times New Roman" w:hAnsi="Times New Roman"/>
            <w:i/>
            <w:sz w:val="16"/>
            <w:szCs w:val="16"/>
          </w:rPr>
          <w:t>Acquista da VP</w:t>
        </w:r>
      </w:hyperlink>
    </w:p>
    <w:p w14:paraId="40621596" w14:textId="77777777" w:rsidR="00714EBE" w:rsidRPr="00714EBE" w:rsidRDefault="00714EBE" w:rsidP="00714EBE">
      <w:pPr>
        <w:pStyle w:val="Testo1"/>
        <w:spacing w:before="0" w:line="240" w:lineRule="atLeast"/>
        <w:rPr>
          <w:spacing w:val="-5"/>
        </w:rPr>
      </w:pPr>
      <w:r w:rsidRPr="00714EBE">
        <w:rPr>
          <w:smallCaps/>
          <w:spacing w:val="-5"/>
          <w:sz w:val="16"/>
        </w:rPr>
        <w:t>G. Brunetti,</w:t>
      </w:r>
      <w:r w:rsidRPr="00714EBE">
        <w:rPr>
          <w:i/>
          <w:spacing w:val="-5"/>
        </w:rPr>
        <w:t xml:space="preserve"> Contabilità e bilancio di esercizio,</w:t>
      </w:r>
      <w:r w:rsidRPr="00714EBE">
        <w:rPr>
          <w:spacing w:val="-5"/>
        </w:rPr>
        <w:t xml:space="preserve"> Etas, Milano, 2007, 3</w:t>
      </w:r>
      <w:r w:rsidRPr="0033437D">
        <w:rPr>
          <w:spacing w:val="-5"/>
          <w:vertAlign w:val="superscript"/>
        </w:rPr>
        <w:t>a</w:t>
      </w:r>
      <w:r w:rsidRPr="00714EBE">
        <w:rPr>
          <w:spacing w:val="-5"/>
        </w:rPr>
        <w:t xml:space="preserve"> ed. aggiornata.</w:t>
      </w:r>
      <w:r w:rsidR="00A81C01">
        <w:rPr>
          <w:spacing w:val="-5"/>
        </w:rPr>
        <w:t xml:space="preserve"> </w:t>
      </w:r>
      <w:hyperlink r:id="rId9" w:history="1">
        <w:r w:rsidR="00A81C01" w:rsidRPr="00A81C01">
          <w:rPr>
            <w:rStyle w:val="Collegamentoipertestuale"/>
            <w:rFonts w:ascii="Times New Roman" w:hAnsi="Times New Roman"/>
            <w:i/>
            <w:sz w:val="16"/>
            <w:szCs w:val="16"/>
          </w:rPr>
          <w:t>Acquista da VP</w:t>
        </w:r>
      </w:hyperlink>
    </w:p>
    <w:p w14:paraId="0DE2EA96" w14:textId="77777777" w:rsidR="00714EBE" w:rsidRDefault="00714EBE" w:rsidP="00714EBE">
      <w:pPr>
        <w:pStyle w:val="Testo1"/>
      </w:pPr>
      <w:r w:rsidRPr="00714EBE">
        <w:t xml:space="preserve">Ad integrazione dei supporti relativi alle diverse sessioni saranno disponibili </w:t>
      </w:r>
      <w:r>
        <w:t>su Blackboard slides e letture.</w:t>
      </w:r>
    </w:p>
    <w:p w14:paraId="554E2913" w14:textId="77777777" w:rsidR="00714EBE" w:rsidRDefault="00714EBE" w:rsidP="00714EBE">
      <w:pPr>
        <w:spacing w:before="240" w:after="120" w:line="220" w:lineRule="exact"/>
        <w:jc w:val="both"/>
        <w:rPr>
          <w:b/>
          <w:i/>
          <w:sz w:val="18"/>
        </w:rPr>
      </w:pPr>
      <w:r>
        <w:rPr>
          <w:b/>
          <w:i/>
          <w:sz w:val="18"/>
        </w:rPr>
        <w:t>DIDATTICA DEL CORSO</w:t>
      </w:r>
    </w:p>
    <w:p w14:paraId="328A9AAA" w14:textId="77777777" w:rsidR="00714EBE" w:rsidRPr="00785214" w:rsidRDefault="00714EBE" w:rsidP="00714EBE">
      <w:pPr>
        <w:pStyle w:val="Testo2"/>
      </w:pPr>
      <w:r w:rsidRPr="00B23F7F">
        <w:t>Lezioni ed esercitazioni in aula.</w:t>
      </w:r>
    </w:p>
    <w:p w14:paraId="1AC75A6D" w14:textId="10A6E943" w:rsidR="003B49E0" w:rsidRDefault="00714EBE" w:rsidP="00714EBE">
      <w:pPr>
        <w:spacing w:before="240" w:after="120" w:line="220" w:lineRule="exact"/>
        <w:jc w:val="both"/>
        <w:rPr>
          <w:b/>
          <w:i/>
          <w:sz w:val="18"/>
        </w:rPr>
      </w:pPr>
      <w:r>
        <w:rPr>
          <w:b/>
          <w:i/>
          <w:sz w:val="18"/>
        </w:rPr>
        <w:t>METODO E CRITERI DI VALUTAZIONE</w:t>
      </w:r>
    </w:p>
    <w:p w14:paraId="3596A2E4" w14:textId="77777777" w:rsidR="003B49E0" w:rsidRPr="00CE150B" w:rsidRDefault="003B49E0" w:rsidP="00CE150B">
      <w:pPr>
        <w:pStyle w:val="Testo2"/>
      </w:pPr>
      <w:r w:rsidRPr="00CE150B">
        <w:t>La valutazione si basa su una prova scritta costituita da domande aperte, chiuse ed esercizi volta a:</w:t>
      </w:r>
    </w:p>
    <w:p w14:paraId="6EF3DCA4" w14:textId="77777777" w:rsidR="003B49E0" w:rsidRPr="00CE150B" w:rsidRDefault="003B49E0" w:rsidP="00CE150B">
      <w:pPr>
        <w:pStyle w:val="Testo2"/>
        <w:numPr>
          <w:ilvl w:val="0"/>
          <w:numId w:val="11"/>
        </w:numPr>
        <w:ind w:left="0" w:firstLine="284"/>
        <w:rPr>
          <w:szCs w:val="18"/>
        </w:rPr>
      </w:pPr>
      <w:r w:rsidRPr="00CE150B">
        <w:rPr>
          <w:szCs w:val="18"/>
        </w:rPr>
        <w:t xml:space="preserve">accertare la conoscenza della logica delle rilevazioni contabili e del metodo della partita doppia (parte applicativa); </w:t>
      </w:r>
    </w:p>
    <w:p w14:paraId="55DA7529" w14:textId="16523FD0" w:rsidR="003B49E0" w:rsidRPr="00CE150B" w:rsidRDefault="003B49E0" w:rsidP="00CE150B">
      <w:pPr>
        <w:pStyle w:val="Testo2"/>
        <w:numPr>
          <w:ilvl w:val="0"/>
          <w:numId w:val="11"/>
        </w:numPr>
        <w:ind w:left="0" w:firstLine="284"/>
        <w:rPr>
          <w:szCs w:val="18"/>
        </w:rPr>
      </w:pPr>
      <w:r w:rsidRPr="00CE150B">
        <w:rPr>
          <w:szCs w:val="18"/>
        </w:rPr>
        <w:t>valutare la conoscenza degli altri argomenti segnalati nella presente Guida di Facoltà (parte teorica).</w:t>
      </w:r>
    </w:p>
    <w:p w14:paraId="4233983B" w14:textId="3DFDC1FE" w:rsidR="003B49E0" w:rsidRPr="00CE150B" w:rsidRDefault="003B49E0" w:rsidP="00CE150B">
      <w:pPr>
        <w:pStyle w:val="Testo2"/>
        <w:spacing w:before="120"/>
      </w:pPr>
      <w:r w:rsidRPr="00CE150B">
        <w:t xml:space="preserve">Per superare la prova scritta lo studente dovrà dimostrare di essere sufficiente in ciascuna parte del programma affrontata dando prova di </w:t>
      </w:r>
    </w:p>
    <w:p w14:paraId="5063EF0B" w14:textId="77777777" w:rsidR="003B49E0" w:rsidRPr="00CE150B" w:rsidRDefault="003B49E0" w:rsidP="00CE150B">
      <w:pPr>
        <w:pStyle w:val="Testo2"/>
        <w:numPr>
          <w:ilvl w:val="0"/>
          <w:numId w:val="10"/>
        </w:numPr>
        <w:ind w:left="0" w:firstLine="284"/>
        <w:rPr>
          <w:szCs w:val="18"/>
        </w:rPr>
      </w:pPr>
      <w:r w:rsidRPr="00CE150B">
        <w:rPr>
          <w:szCs w:val="18"/>
        </w:rPr>
        <w:t>conoscere e saper applicare la logica delle rilevazioni contabili e il metodo della partita doppia. Si segnala che, per ottenere la sufficienza lo studente non dovrà compiere più di tre errori gravi. L’insufficienza in questa parte dell’esame dà luogo a una valutazione complessivamente insufficiente, anche nell’ipotesi in cui siano sufficienti le risposte a tutte le altre domande;</w:t>
      </w:r>
    </w:p>
    <w:p w14:paraId="4BE73C6A" w14:textId="4A2A3E56" w:rsidR="003B49E0" w:rsidRPr="00CE150B" w:rsidRDefault="003B49E0" w:rsidP="00CE150B">
      <w:pPr>
        <w:pStyle w:val="Testo2"/>
        <w:numPr>
          <w:ilvl w:val="0"/>
          <w:numId w:val="10"/>
        </w:numPr>
        <w:ind w:left="0" w:firstLine="284"/>
        <w:rPr>
          <w:szCs w:val="18"/>
        </w:rPr>
      </w:pPr>
      <w:r w:rsidRPr="00CE150B">
        <w:rPr>
          <w:szCs w:val="18"/>
        </w:rPr>
        <w:t>conoscere, almeno in modo elementare, gli argomenti indicati nella presente Guida di Facoltà (parte teorica). L’insufficienza piena su una parte del programma determina una valutazione complessivamente insufficiente anche nell’ipotesi in cui siano sufficienti le risposte a tutte le altre domande;</w:t>
      </w:r>
    </w:p>
    <w:p w14:paraId="01059996" w14:textId="77777777" w:rsidR="003B49E0" w:rsidRPr="00CE150B" w:rsidRDefault="003B49E0" w:rsidP="00CE150B">
      <w:pPr>
        <w:pStyle w:val="Testo2"/>
        <w:spacing w:before="120"/>
      </w:pPr>
      <w:r w:rsidRPr="00CE150B">
        <w:t xml:space="preserve">Per gli studenti </w:t>
      </w:r>
      <w:r w:rsidRPr="00CE150B">
        <w:rPr>
          <w:i/>
        </w:rPr>
        <w:t>frequentanti</w:t>
      </w:r>
      <w:r w:rsidRPr="00CE150B">
        <w:t xml:space="preserve"> è prevista la possibilità di suddividere l’esame in due prove parziali (una prova intermedia ed una prova di completamento). </w:t>
      </w:r>
    </w:p>
    <w:p w14:paraId="4380729B" w14:textId="735F832D" w:rsidR="003B49E0" w:rsidRPr="00CE150B" w:rsidRDefault="003B49E0" w:rsidP="00CE150B">
      <w:pPr>
        <w:pStyle w:val="Testo2"/>
      </w:pPr>
      <w:r w:rsidRPr="00CE150B">
        <w:t>Nel caso in cui l’esame sia sostenuto in due prove parziali, la prova di completamento è prevista esclusivamente durante il primo appello della sessione di gennaio-febbraio e l’esame viene considerato superato solo se in entrambe le prove lo studente ottiene un voto non inferiore a 18. Il voto finale è dato dalla media aritmetica dei voti ottenuti nelle due prove parziali.</w:t>
      </w:r>
    </w:p>
    <w:p w14:paraId="358DB971" w14:textId="34C6E486" w:rsidR="003B49E0" w:rsidRPr="00CE150B" w:rsidRDefault="003B49E0" w:rsidP="00CE150B">
      <w:pPr>
        <w:pStyle w:val="Testo2"/>
        <w:spacing w:before="120"/>
        <w:rPr>
          <w:szCs w:val="18"/>
        </w:rPr>
      </w:pPr>
      <w:r w:rsidRPr="00CE150B">
        <w:rPr>
          <w:szCs w:val="18"/>
        </w:rPr>
        <w:t>Se lo studente non sostiene con esito sufficiente la prova finale, la prova intermedia perde ogni validità e lo studente deve sostenere l'esame integralmente.</w:t>
      </w:r>
    </w:p>
    <w:p w14:paraId="0749CEFE" w14:textId="33A7962B" w:rsidR="003B49E0" w:rsidRPr="00CE150B" w:rsidRDefault="003B49E0" w:rsidP="00CE150B">
      <w:pPr>
        <w:pStyle w:val="Testo2"/>
        <w:spacing w:before="120"/>
      </w:pPr>
      <w:r w:rsidRPr="00CE150B">
        <w:t>Indicazioni più dettagliate sull’esame e sulle prove parziali saranno pubblicate su Blackboard.</w:t>
      </w:r>
    </w:p>
    <w:p w14:paraId="4580BACE" w14:textId="4349971C" w:rsidR="003B49E0" w:rsidRPr="00CE150B" w:rsidRDefault="00714EBE" w:rsidP="00CE150B">
      <w:pPr>
        <w:pStyle w:val="Testo2"/>
        <w:spacing w:before="120"/>
      </w:pPr>
      <w:r w:rsidRPr="00CE150B">
        <w:lastRenderedPageBreak/>
        <w:t xml:space="preserve">L’esame di Economia Aziendale si svolge in </w:t>
      </w:r>
      <w:r w:rsidRPr="00CE150B">
        <w:rPr>
          <w:i/>
        </w:rPr>
        <w:t>forma scritta</w:t>
      </w:r>
      <w:r w:rsidRPr="00CE150B">
        <w:t xml:space="preserve">. </w:t>
      </w:r>
    </w:p>
    <w:p w14:paraId="1673F6A7" w14:textId="77777777" w:rsidR="003B49E0" w:rsidRPr="00CE150B" w:rsidRDefault="003B49E0" w:rsidP="00CE150B">
      <w:pPr>
        <w:pStyle w:val="Testo2"/>
        <w:spacing w:before="120"/>
      </w:pPr>
      <w:r w:rsidRPr="00CE150B">
        <w:t>La valutazione si basa su una prova scritta costituita da domande aperte, chiuse ed esercizi volta a:</w:t>
      </w:r>
    </w:p>
    <w:p w14:paraId="79CA1152" w14:textId="77777777" w:rsidR="003B49E0" w:rsidRPr="00CE150B" w:rsidRDefault="003B49E0" w:rsidP="00CE150B">
      <w:pPr>
        <w:pStyle w:val="Testo2"/>
        <w:numPr>
          <w:ilvl w:val="0"/>
          <w:numId w:val="11"/>
        </w:numPr>
        <w:ind w:left="0" w:firstLine="284"/>
        <w:rPr>
          <w:szCs w:val="18"/>
        </w:rPr>
      </w:pPr>
      <w:r w:rsidRPr="00CE150B">
        <w:rPr>
          <w:szCs w:val="18"/>
        </w:rPr>
        <w:t xml:space="preserve">accertare la conoscenza della logica delle rilevazioni contabili e del metodo della partita doppia (parte applicativa); </w:t>
      </w:r>
    </w:p>
    <w:p w14:paraId="32E82EF3" w14:textId="6B3CD4B8" w:rsidR="003B49E0" w:rsidRPr="00CE150B" w:rsidRDefault="003B49E0" w:rsidP="00CE150B">
      <w:pPr>
        <w:pStyle w:val="Testo2"/>
        <w:numPr>
          <w:ilvl w:val="0"/>
          <w:numId w:val="11"/>
        </w:numPr>
        <w:ind w:left="0" w:firstLine="284"/>
        <w:rPr>
          <w:szCs w:val="18"/>
        </w:rPr>
      </w:pPr>
      <w:r w:rsidRPr="00CE150B">
        <w:rPr>
          <w:szCs w:val="18"/>
        </w:rPr>
        <w:t>valutare la conoscenza degli altri argomenti segnalati nella presente Guida di Facoltà (parte teorica).</w:t>
      </w:r>
    </w:p>
    <w:p w14:paraId="0042C339" w14:textId="3F6A0778" w:rsidR="003B49E0" w:rsidRPr="00CE150B" w:rsidRDefault="003B49E0" w:rsidP="00CE150B">
      <w:pPr>
        <w:pStyle w:val="Testo2"/>
        <w:spacing w:before="120"/>
      </w:pPr>
      <w:r w:rsidRPr="00CE150B">
        <w:t>Per superare la prova scritta lo studente dovrà dimostrare di essere sufficiente in ciascuna parte del prog</w:t>
      </w:r>
      <w:r w:rsidR="00CE150B">
        <w:t>ramma affrontata dando prova di:</w:t>
      </w:r>
    </w:p>
    <w:p w14:paraId="1C4802FA" w14:textId="77777777" w:rsidR="003B49E0" w:rsidRPr="00CE150B" w:rsidRDefault="003B49E0" w:rsidP="00CE150B">
      <w:pPr>
        <w:pStyle w:val="Testo2"/>
        <w:numPr>
          <w:ilvl w:val="0"/>
          <w:numId w:val="10"/>
        </w:numPr>
        <w:spacing w:before="120"/>
        <w:ind w:left="0" w:firstLine="284"/>
        <w:rPr>
          <w:szCs w:val="18"/>
        </w:rPr>
      </w:pPr>
      <w:r w:rsidRPr="00CE150B">
        <w:rPr>
          <w:szCs w:val="18"/>
        </w:rPr>
        <w:t>conoscere e saper applicare la logica delle rilevazioni contabili e il metodo della partita doppia. Si segnala che, per ottenere la sufficienza lo studente non dovrà compiere più di tre errori gravi. L’insufficienza in questa parte dell’esame dà luogo a una valutazione complessivamente insufficiente, anche nell’ipotesi in cui siano sufficienti le risposte a tutte le altre domande;</w:t>
      </w:r>
    </w:p>
    <w:p w14:paraId="5A234752" w14:textId="5458651A" w:rsidR="003B49E0" w:rsidRPr="00CE150B" w:rsidRDefault="003B49E0" w:rsidP="00CE150B">
      <w:pPr>
        <w:pStyle w:val="Testo2"/>
        <w:numPr>
          <w:ilvl w:val="0"/>
          <w:numId w:val="10"/>
        </w:numPr>
        <w:ind w:left="0" w:firstLine="284"/>
        <w:rPr>
          <w:szCs w:val="18"/>
        </w:rPr>
      </w:pPr>
      <w:r w:rsidRPr="00CE150B">
        <w:rPr>
          <w:szCs w:val="18"/>
        </w:rPr>
        <w:t>conoscere, almeno in modo elementare, gli argomenti indicati nella presente Guida di Facoltà (parte teorica). L’insufficienza piena su una parte del programma determina una valutazione complessivamente insufficiente anche nell’ipotesi in cui siano sufficienti le risposte a tutte le altre domande;</w:t>
      </w:r>
    </w:p>
    <w:p w14:paraId="102918CB" w14:textId="5E2B754E" w:rsidR="00714EBE" w:rsidRPr="00CE150B" w:rsidRDefault="003B49E0" w:rsidP="00CE150B">
      <w:pPr>
        <w:pStyle w:val="Testo2"/>
        <w:spacing w:before="120"/>
      </w:pPr>
      <w:r w:rsidRPr="00CE150B">
        <w:t>La prova può essere</w:t>
      </w:r>
      <w:r w:rsidR="00714EBE" w:rsidRPr="00CE150B">
        <w:t xml:space="preserve"> unica o </w:t>
      </w:r>
      <w:r w:rsidRPr="00CE150B">
        <w:t>costituita da due</w:t>
      </w:r>
      <w:r w:rsidR="00714EBE" w:rsidRPr="00CE150B">
        <w:t xml:space="preserve"> prove</w:t>
      </w:r>
      <w:r w:rsidRPr="00CE150B">
        <w:t xml:space="preserve"> parziali al termine di ciascun semestre</w:t>
      </w:r>
      <w:r w:rsidR="00CE150B">
        <w:t>.</w:t>
      </w:r>
    </w:p>
    <w:p w14:paraId="13A8DA39" w14:textId="77777777" w:rsidR="00714EBE" w:rsidRPr="003B49E0" w:rsidRDefault="0033437D" w:rsidP="00714EBE">
      <w:pPr>
        <w:pStyle w:val="Testo2"/>
        <w:spacing w:before="120"/>
      </w:pPr>
      <w:r w:rsidRPr="003B49E0">
        <w:t>2.1.</w:t>
      </w:r>
      <w:r w:rsidRPr="003B49E0">
        <w:tab/>
      </w:r>
      <w:r w:rsidR="00714EBE" w:rsidRPr="003B49E0">
        <w:rPr>
          <w:i/>
        </w:rPr>
        <w:t>Prova unica</w:t>
      </w:r>
    </w:p>
    <w:p w14:paraId="4FC87235" w14:textId="77777777" w:rsidR="00714EBE" w:rsidRPr="00103BA2" w:rsidRDefault="00714EBE" w:rsidP="00714EBE">
      <w:pPr>
        <w:pStyle w:val="Testo2"/>
      </w:pPr>
      <w:r w:rsidRPr="00103BA2">
        <w:t>La prova unica è volta ad accertare la conoscenza di tutti gli argomenti inclusi nel programma, avendo particolare attenzione alla logica delle rilevazioni contabili e del metodo della partita doppia.</w:t>
      </w:r>
    </w:p>
    <w:p w14:paraId="57D22941" w14:textId="77777777" w:rsidR="00714EBE" w:rsidRPr="00103BA2" w:rsidRDefault="00714EBE" w:rsidP="00714EBE">
      <w:pPr>
        <w:pStyle w:val="Testo2"/>
      </w:pPr>
      <w:r w:rsidRPr="00103BA2">
        <w:t>La prova</w:t>
      </w:r>
      <w:r>
        <w:t xml:space="preserve"> (appelli a partire da giugno 202</w:t>
      </w:r>
      <w:r w:rsidR="00217944">
        <w:t>1</w:t>
      </w:r>
      <w:r w:rsidRPr="004C1797">
        <w:t>),</w:t>
      </w:r>
      <w:r w:rsidRPr="00103BA2">
        <w:t xml:space="preserve"> composta da </w:t>
      </w:r>
      <w:r w:rsidRPr="00A977AA">
        <w:t>6 domande,</w:t>
      </w:r>
      <w:r w:rsidRPr="00103BA2">
        <w:t xml:space="preserve"> è insufficiente se si verifica almeno una delle seguenti condizioni:</w:t>
      </w:r>
    </w:p>
    <w:p w14:paraId="34857FD3" w14:textId="77777777" w:rsidR="00714EBE" w:rsidRPr="00714EBE" w:rsidRDefault="00714EBE" w:rsidP="00714EBE">
      <w:pPr>
        <w:pStyle w:val="Testo2"/>
        <w:numPr>
          <w:ilvl w:val="0"/>
          <w:numId w:val="6"/>
        </w:numPr>
        <w:ind w:left="567" w:hanging="294"/>
      </w:pPr>
      <w:r>
        <w:t>una valutazione inferiore a 18</w:t>
      </w:r>
      <w:r w:rsidRPr="00103BA2">
        <w:t xml:space="preserve"> nella domanda relativa alle rilevazioni contabili;</w:t>
      </w:r>
    </w:p>
    <w:p w14:paraId="008599FF" w14:textId="77777777" w:rsidR="00714EBE" w:rsidRPr="00103BA2" w:rsidRDefault="00714EBE" w:rsidP="00714EBE">
      <w:pPr>
        <w:pStyle w:val="Testo2"/>
        <w:numPr>
          <w:ilvl w:val="0"/>
          <w:numId w:val="6"/>
        </w:numPr>
        <w:ind w:left="567" w:hanging="294"/>
      </w:pPr>
      <w:r w:rsidRPr="006E0079">
        <w:t>una o</w:t>
      </w:r>
      <w:r w:rsidRPr="00103BA2">
        <w:t xml:space="preserve"> più risposte con valutazione negativa (inferiore a 18/30);</w:t>
      </w:r>
    </w:p>
    <w:p w14:paraId="20718509" w14:textId="77777777" w:rsidR="00714EBE" w:rsidRPr="00714EBE" w:rsidRDefault="00714EBE" w:rsidP="00714EBE">
      <w:pPr>
        <w:pStyle w:val="Testo2"/>
        <w:numPr>
          <w:ilvl w:val="0"/>
          <w:numId w:val="6"/>
        </w:numPr>
        <w:ind w:left="567" w:hanging="294"/>
      </w:pPr>
      <w:r w:rsidRPr="00103BA2">
        <w:t>media aritmetica dei voti ricevuti inferiore a 18/30.</w:t>
      </w:r>
    </w:p>
    <w:p w14:paraId="3E0962FE" w14:textId="77777777" w:rsidR="00714EBE" w:rsidRPr="004A5FFE" w:rsidRDefault="0033437D" w:rsidP="00714EBE">
      <w:pPr>
        <w:pStyle w:val="Testo2"/>
        <w:spacing w:before="120"/>
      </w:pPr>
      <w:r>
        <w:t>2.2.</w:t>
      </w:r>
      <w:r>
        <w:tab/>
      </w:r>
      <w:r w:rsidR="00714EBE" w:rsidRPr="00CB54EF">
        <w:rPr>
          <w:i/>
        </w:rPr>
        <w:t>Due prove</w:t>
      </w:r>
    </w:p>
    <w:p w14:paraId="09277C83" w14:textId="77777777" w:rsidR="00714EBE" w:rsidRPr="00103BA2" w:rsidRDefault="00714EBE" w:rsidP="00714EBE">
      <w:pPr>
        <w:pStyle w:val="Testo2"/>
      </w:pPr>
      <w:r w:rsidRPr="00103BA2">
        <w:t>È possibile sostenere l’esame suddividendolo in due prove scritte:</w:t>
      </w:r>
    </w:p>
    <w:p w14:paraId="4AE05B4C" w14:textId="77777777" w:rsidR="00714EBE" w:rsidRPr="004C1797" w:rsidRDefault="00714EBE" w:rsidP="00714EBE">
      <w:pPr>
        <w:pStyle w:val="Testo2"/>
        <w:numPr>
          <w:ilvl w:val="0"/>
          <w:numId w:val="6"/>
        </w:numPr>
        <w:ind w:left="567" w:hanging="294"/>
      </w:pPr>
      <w:r w:rsidRPr="00103BA2">
        <w:t xml:space="preserve">prova </w:t>
      </w:r>
      <w:r w:rsidRPr="004C1797">
        <w:t>intermedia (</w:t>
      </w:r>
      <w:r>
        <w:t>gennaio 202</w:t>
      </w:r>
      <w:r w:rsidR="00217944">
        <w:t>1</w:t>
      </w:r>
      <w:r>
        <w:t>), che pesa per il 5</w:t>
      </w:r>
      <w:r w:rsidRPr="004C1797">
        <w:t>0% del voto finale;</w:t>
      </w:r>
    </w:p>
    <w:p w14:paraId="1C1B44CF" w14:textId="77777777" w:rsidR="00714EBE" w:rsidRPr="00103BA2" w:rsidRDefault="00714EBE" w:rsidP="00714EBE">
      <w:pPr>
        <w:pStyle w:val="Testo2"/>
        <w:numPr>
          <w:ilvl w:val="0"/>
          <w:numId w:val="6"/>
        </w:numPr>
        <w:ind w:left="567" w:hanging="294"/>
      </w:pPr>
      <w:r w:rsidRPr="004C1797">
        <w:t>prova finale (appelli a pa</w:t>
      </w:r>
      <w:r>
        <w:t>rtire da giugno 202</w:t>
      </w:r>
      <w:r w:rsidR="00217944">
        <w:t>1</w:t>
      </w:r>
      <w:r w:rsidRPr="004C1797">
        <w:t>), che</w:t>
      </w:r>
      <w:r>
        <w:t xml:space="preserve"> pesa per il 5</w:t>
      </w:r>
      <w:r w:rsidRPr="00103BA2">
        <w:t>0% del voto finale.</w:t>
      </w:r>
    </w:p>
    <w:p w14:paraId="5D2B76A4" w14:textId="77777777" w:rsidR="00714EBE" w:rsidRPr="00714EBE" w:rsidRDefault="00714EBE" w:rsidP="0033437D">
      <w:pPr>
        <w:pStyle w:val="Testo2"/>
        <w:numPr>
          <w:ilvl w:val="0"/>
          <w:numId w:val="7"/>
        </w:numPr>
        <w:spacing w:before="120"/>
        <w:ind w:left="567" w:hanging="283"/>
      </w:pPr>
      <w:r w:rsidRPr="00103BA2">
        <w:t xml:space="preserve">La </w:t>
      </w:r>
      <w:r w:rsidRPr="00103BA2">
        <w:rPr>
          <w:i/>
        </w:rPr>
        <w:t>prova intermedia</w:t>
      </w:r>
      <w:r w:rsidRPr="00103BA2">
        <w:t xml:space="preserve"> è composta da 4 domande relative </w:t>
      </w:r>
      <w:r>
        <w:t xml:space="preserve">al programma svolto </w:t>
      </w:r>
      <w:r w:rsidRPr="004C1797">
        <w:t>fino a dicembre compreso.</w:t>
      </w:r>
      <w:r>
        <w:t xml:space="preserve"> La prova r</w:t>
      </w:r>
      <w:r w:rsidRPr="00103BA2">
        <w:t>isulta insufficiente se si verifica almeno una delle seguenti condizioni:</w:t>
      </w:r>
    </w:p>
    <w:p w14:paraId="67734951" w14:textId="77777777" w:rsidR="00714EBE" w:rsidRPr="00103BA2" w:rsidRDefault="00714EBE" w:rsidP="00714EBE">
      <w:pPr>
        <w:pStyle w:val="Testo2"/>
        <w:numPr>
          <w:ilvl w:val="0"/>
          <w:numId w:val="6"/>
        </w:numPr>
        <w:ind w:left="567" w:hanging="294"/>
      </w:pPr>
      <w:r w:rsidRPr="00103BA2">
        <w:t>due o più risposte con va</w:t>
      </w:r>
      <w:r>
        <w:t>lutazione negativa (inferiore a</w:t>
      </w:r>
      <w:r w:rsidRPr="00103BA2">
        <w:t xml:space="preserve"> 18/30);</w:t>
      </w:r>
    </w:p>
    <w:p w14:paraId="4CD09D2A" w14:textId="77777777" w:rsidR="00714EBE" w:rsidRPr="00103BA2" w:rsidRDefault="00714EBE" w:rsidP="00714EBE">
      <w:pPr>
        <w:pStyle w:val="Testo2"/>
        <w:numPr>
          <w:ilvl w:val="0"/>
          <w:numId w:val="6"/>
        </w:numPr>
        <w:ind w:left="567" w:hanging="294"/>
      </w:pPr>
      <w:r w:rsidRPr="00103BA2">
        <w:t>una risposta che mostra un’impreparazione totale sul tema;</w:t>
      </w:r>
    </w:p>
    <w:p w14:paraId="7A2A2DF2" w14:textId="77777777" w:rsidR="00714EBE" w:rsidRPr="00103BA2" w:rsidRDefault="00714EBE" w:rsidP="00714EBE">
      <w:pPr>
        <w:pStyle w:val="Testo2"/>
        <w:numPr>
          <w:ilvl w:val="0"/>
          <w:numId w:val="6"/>
        </w:numPr>
        <w:ind w:left="567" w:hanging="294"/>
      </w:pPr>
      <w:r w:rsidRPr="00103BA2">
        <w:t>media aritmetica dei voti ricevuti inferiore a 18/30.</w:t>
      </w:r>
    </w:p>
    <w:p w14:paraId="3F318703" w14:textId="77777777" w:rsidR="00714EBE" w:rsidRPr="00103BA2" w:rsidRDefault="00714EBE" w:rsidP="00714EBE">
      <w:pPr>
        <w:pStyle w:val="Testo2"/>
      </w:pPr>
      <w:r w:rsidRPr="00103BA2">
        <w:t xml:space="preserve">Se la prova intermedia è sufficiente, lo studente può sostenere la prova finale </w:t>
      </w:r>
      <w:r>
        <w:t xml:space="preserve">negli appelli successivi con un numero massimo di due tentativi per sessione. </w:t>
      </w:r>
    </w:p>
    <w:p w14:paraId="6A155FB8" w14:textId="77777777" w:rsidR="00714EBE" w:rsidRPr="006E0079" w:rsidRDefault="00714EBE" w:rsidP="00714EBE">
      <w:pPr>
        <w:pStyle w:val="Testo2"/>
      </w:pPr>
      <w:r w:rsidRPr="00103BA2">
        <w:lastRenderedPageBreak/>
        <w:t xml:space="preserve">Se </w:t>
      </w:r>
      <w:r>
        <w:t>il voto conseguito nel</w:t>
      </w:r>
      <w:r w:rsidRPr="00103BA2">
        <w:t xml:space="preserve">la prova intermedia è insufficiente o </w:t>
      </w:r>
      <w:r>
        <w:t xml:space="preserve">non </w:t>
      </w:r>
      <w:r w:rsidRPr="00103BA2">
        <w:t>soddisfacente</w:t>
      </w:r>
      <w:r>
        <w:t xml:space="preserve"> per lo </w:t>
      </w:r>
      <w:r w:rsidRPr="00103BA2">
        <w:t>studente</w:t>
      </w:r>
      <w:r>
        <w:t>, quest’ultimo</w:t>
      </w:r>
      <w:r w:rsidRPr="00103BA2">
        <w:t xml:space="preserve"> deve sostenere l’esame secondo la formula della prova unica in occasione degli appelli d’esame.</w:t>
      </w:r>
    </w:p>
    <w:p w14:paraId="510609AF" w14:textId="77777777" w:rsidR="00714EBE" w:rsidRPr="00714EBE" w:rsidRDefault="0033437D" w:rsidP="0033437D">
      <w:pPr>
        <w:pStyle w:val="Testo2"/>
        <w:spacing w:before="120"/>
        <w:ind w:left="567" w:hanging="283"/>
      </w:pPr>
      <w:r>
        <w:t>B.</w:t>
      </w:r>
      <w:r>
        <w:tab/>
      </w:r>
      <w:r w:rsidR="00714EBE" w:rsidRPr="006E0079">
        <w:t xml:space="preserve">La </w:t>
      </w:r>
      <w:r w:rsidR="00714EBE" w:rsidRPr="006E0079">
        <w:rPr>
          <w:i/>
        </w:rPr>
        <w:t>prova finale</w:t>
      </w:r>
      <w:r w:rsidR="00714EBE" w:rsidRPr="006E0079">
        <w:t xml:space="preserve"> è composta da 2 quesiti complessi (composti da più punti) sulla restante parte del programma, tra cui uno dedicato a un esercizio sulle rilevazioni contabili e sul metodo della partita doppia. La prova risulta insufficiente se si verifica almeno una delle seguenti condizioni:</w:t>
      </w:r>
    </w:p>
    <w:p w14:paraId="6FAE515E" w14:textId="77777777" w:rsidR="00714EBE" w:rsidRPr="006E0079" w:rsidRDefault="00714EBE" w:rsidP="00714EBE">
      <w:pPr>
        <w:pStyle w:val="Testo2"/>
        <w:numPr>
          <w:ilvl w:val="0"/>
          <w:numId w:val="6"/>
        </w:numPr>
        <w:ind w:left="567" w:hanging="294"/>
      </w:pPr>
      <w:r w:rsidRPr="006E0079">
        <w:t>una valutazione inferiore a 18 nel quesito relativo alle rilevazioni contabili;</w:t>
      </w:r>
    </w:p>
    <w:p w14:paraId="0D747857" w14:textId="77777777" w:rsidR="00714EBE" w:rsidRPr="00714EBE" w:rsidRDefault="00714EBE" w:rsidP="00714EBE">
      <w:pPr>
        <w:pStyle w:val="Testo2"/>
        <w:numPr>
          <w:ilvl w:val="0"/>
          <w:numId w:val="6"/>
        </w:numPr>
        <w:ind w:left="567" w:hanging="294"/>
      </w:pPr>
      <w:r w:rsidRPr="006E0079">
        <w:t>una valutazione gravemente insufficiente nell’altro quesito.</w:t>
      </w:r>
    </w:p>
    <w:p w14:paraId="48395861" w14:textId="77777777" w:rsidR="00714EBE" w:rsidRPr="00714EBE" w:rsidRDefault="00714EBE" w:rsidP="00714EBE">
      <w:pPr>
        <w:pStyle w:val="Testo2"/>
        <w:rPr>
          <w:i/>
        </w:rPr>
      </w:pPr>
      <w:r w:rsidRPr="00103BA2">
        <w:t xml:space="preserve">Se nella prova finale lo studente consegue una valutazione insufficiente o una valutazione positiva ma non soddisfacente, egli può ripetere solo la prova </w:t>
      </w:r>
      <w:r w:rsidRPr="006E0079">
        <w:t xml:space="preserve">finale. In altre parole, </w:t>
      </w:r>
      <w:r w:rsidRPr="00714EBE">
        <w:rPr>
          <w:i/>
        </w:rPr>
        <w:t>il voto conseguito nella prova intermedia rimane valido fino alla sessione straordinaria di gennaio/febbraio.</w:t>
      </w:r>
    </w:p>
    <w:p w14:paraId="5B00529C" w14:textId="77777777" w:rsidR="00714EBE" w:rsidRPr="0033437D" w:rsidRDefault="0033437D" w:rsidP="00714EBE">
      <w:pPr>
        <w:pStyle w:val="Testo2"/>
        <w:spacing w:before="120"/>
      </w:pPr>
      <w:r w:rsidRPr="0033437D">
        <w:t>2.3.</w:t>
      </w:r>
      <w:r w:rsidRPr="0033437D">
        <w:tab/>
      </w:r>
      <w:r w:rsidR="00714EBE" w:rsidRPr="0033437D">
        <w:rPr>
          <w:i/>
        </w:rPr>
        <w:t>Iscrizione alla prova d'esame</w:t>
      </w:r>
    </w:p>
    <w:p w14:paraId="366E0E8D" w14:textId="77777777" w:rsidR="00714EBE" w:rsidRDefault="00714EBE" w:rsidP="00714EBE">
      <w:pPr>
        <w:pStyle w:val="Testo2"/>
      </w:pPr>
      <w:r>
        <w:t>Le modalità per l’iscrizione alla prova intermedia verranno comunicate tramite Blackboard.</w:t>
      </w:r>
    </w:p>
    <w:p w14:paraId="373115EF" w14:textId="77777777" w:rsidR="00714EBE" w:rsidRDefault="00714EBE" w:rsidP="00714EBE">
      <w:pPr>
        <w:pStyle w:val="Testo2"/>
      </w:pPr>
      <w:r>
        <w:t>Occorre iscriversi tramite Icatt agli appelli per la prova finale o unica. L’iscrizione è identica per entrambe le prove. Lo studente comunicherà in aula al docente quale delle due opzioni verrà scelta.</w:t>
      </w:r>
    </w:p>
    <w:p w14:paraId="71233C13" w14:textId="77777777" w:rsidR="00714EBE" w:rsidRDefault="00714EBE" w:rsidP="00714EBE">
      <w:pPr>
        <w:pStyle w:val="Testo2"/>
      </w:pPr>
      <w:r>
        <w:t xml:space="preserve">In assenza dell’iscrizione </w:t>
      </w:r>
      <w:r w:rsidRPr="00714EBE">
        <w:rPr>
          <w:i/>
        </w:rPr>
        <w:t>non sarà possibile</w:t>
      </w:r>
      <w:r>
        <w:t xml:space="preserve"> sostenere le prove d’esame.</w:t>
      </w:r>
    </w:p>
    <w:p w14:paraId="6FC4A554" w14:textId="77777777" w:rsidR="00714EBE" w:rsidRPr="00103BA2" w:rsidRDefault="0033437D" w:rsidP="00714EBE">
      <w:pPr>
        <w:pStyle w:val="Testo2"/>
        <w:spacing w:before="120"/>
      </w:pPr>
      <w:r>
        <w:t>2.4.</w:t>
      </w:r>
      <w:r>
        <w:tab/>
      </w:r>
      <w:bookmarkStart w:id="0" w:name="_GoBack"/>
      <w:bookmarkEnd w:id="0"/>
      <w:r w:rsidR="00714EBE" w:rsidRPr="00A05F84">
        <w:rPr>
          <w:i/>
        </w:rPr>
        <w:t>Verbalizzazione del voto d’esame</w:t>
      </w:r>
    </w:p>
    <w:p w14:paraId="66076E3E" w14:textId="77777777" w:rsidR="00714EBE" w:rsidRDefault="00714EBE" w:rsidP="00714EBE">
      <w:pPr>
        <w:pStyle w:val="Testo2"/>
      </w:pPr>
      <w:r w:rsidRPr="00103BA2">
        <w:t xml:space="preserve">Il voto viene verbalizzato </w:t>
      </w:r>
      <w:r>
        <w:t>tramite il nuovo sistema di verbalizzazione elettronica, non prima di</w:t>
      </w:r>
      <w:r w:rsidRPr="00103BA2">
        <w:t xml:space="preserve"> una </w:t>
      </w:r>
      <w:r>
        <w:t>decina</w:t>
      </w:r>
      <w:r w:rsidRPr="00103BA2">
        <w:t xml:space="preserve"> di giorni dopo l’esame stesso. </w:t>
      </w:r>
      <w:r>
        <w:t xml:space="preserve">Lo studente riceverà notifica del voto, che potrà accettare o meno. In caso di mancata accettazione o rinuncia entro 7 giorni verrà comunque caricato l’esito positivo (silenzio/assenso). </w:t>
      </w:r>
    </w:p>
    <w:p w14:paraId="461D1B90" w14:textId="77777777" w:rsidR="00714EBE" w:rsidRPr="00714EBE" w:rsidRDefault="00714EBE" w:rsidP="00714EBE">
      <w:pPr>
        <w:pStyle w:val="Testo2"/>
        <w:spacing w:before="120"/>
        <w:rPr>
          <w:i/>
        </w:rPr>
      </w:pPr>
      <w:bookmarkStart w:id="1" w:name="_Toc239918600"/>
      <w:r w:rsidRPr="00714EBE">
        <w:rPr>
          <w:i/>
        </w:rPr>
        <w:t>Esercitazioni integrative</w:t>
      </w:r>
    </w:p>
    <w:p w14:paraId="65B73163" w14:textId="77777777" w:rsidR="00714EBE" w:rsidRPr="00D36D34" w:rsidRDefault="00714EBE" w:rsidP="00714EBE">
      <w:pPr>
        <w:pStyle w:val="Testo2"/>
        <w:rPr>
          <w:sz w:val="22"/>
        </w:rPr>
      </w:pPr>
      <w:r w:rsidRPr="00D36D34">
        <w:t>Per favorire l’apprendimento della logica delle rilevazioni contabili e del metodo della partita doppia, in aggiunta a quanto previsto nel programma distribuito, saranno organizzate alcu</w:t>
      </w:r>
      <w:r>
        <w:t>ne esercitazioni supplementari. Le esercitazioni</w:t>
      </w:r>
      <w:r w:rsidRPr="00D36D34">
        <w:t xml:space="preserve"> sono finalizzate </w:t>
      </w:r>
      <w:r>
        <w:t>a fornire agli studenti che ne sentissero la necessità</w:t>
      </w:r>
      <w:r w:rsidRPr="00D36D34">
        <w:t xml:space="preserve"> un momento aggiuntivo di lavoro e di confronto con i docenti, dedicato ad argomenti e a esercizi già affrontati nelle ore di lezione</w:t>
      </w:r>
      <w:r>
        <w:t>.</w:t>
      </w:r>
    </w:p>
    <w:bookmarkEnd w:id="1"/>
    <w:p w14:paraId="3FEE8725" w14:textId="77777777" w:rsidR="00CB54EF" w:rsidRDefault="00CB54EF" w:rsidP="00CB54EF">
      <w:pPr>
        <w:spacing w:before="240" w:after="120" w:line="240" w:lineRule="exact"/>
        <w:jc w:val="both"/>
        <w:rPr>
          <w:b/>
          <w:i/>
          <w:sz w:val="18"/>
        </w:rPr>
      </w:pPr>
      <w:r>
        <w:rPr>
          <w:b/>
          <w:i/>
          <w:sz w:val="18"/>
        </w:rPr>
        <w:t>AVVERTENZE E PREREQUISITI</w:t>
      </w:r>
    </w:p>
    <w:p w14:paraId="3CC36AA9" w14:textId="77777777" w:rsidR="00714EBE" w:rsidRDefault="00CB54EF" w:rsidP="00217944">
      <w:pPr>
        <w:pStyle w:val="Testo2"/>
      </w:pPr>
      <w:r w:rsidRPr="00F81914">
        <w:t>La frequenza e la partecipazione attiva alle lezioni e alle esercitazioni sono vivamente consigliate, in quanto contribuiscono a rendere più agevole l'apprendimento della materia e il superamento dell'esame.</w:t>
      </w:r>
      <w:r>
        <w:t xml:space="preserve"> </w:t>
      </w:r>
    </w:p>
    <w:p w14:paraId="2FDFB587" w14:textId="77777777" w:rsidR="000A0731" w:rsidRDefault="000A0731" w:rsidP="00CB54EF">
      <w:pPr>
        <w:pStyle w:val="Testo2"/>
        <w:spacing w:before="120"/>
      </w:pPr>
      <w:r w:rsidRPr="000A0731">
        <w:rPr>
          <w:i/>
        </w:rPr>
        <w:t>Nel caso in cui la situazione sanitaria relativa alla pandemia di Covid-19 non dovesse consentire la didattica in presenza, sarà garantita l’erogazione dell’insegnamento in distance learning</w:t>
      </w:r>
      <w:r w:rsidRPr="000A0731">
        <w:rPr>
          <w:i/>
          <w:iCs/>
        </w:rPr>
        <w:t xml:space="preserve"> </w:t>
      </w:r>
      <w:r w:rsidRPr="000A0731">
        <w:rPr>
          <w:i/>
        </w:rPr>
        <w:t>con modalità che verranno comunicate in tempo utile agli studenti.</w:t>
      </w:r>
    </w:p>
    <w:sectPr w:rsidR="000A073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8850" w14:textId="77777777" w:rsidR="00473DE1" w:rsidRDefault="00473DE1" w:rsidP="00A81C01">
      <w:r>
        <w:separator/>
      </w:r>
    </w:p>
  </w:endnote>
  <w:endnote w:type="continuationSeparator" w:id="0">
    <w:p w14:paraId="0B07DDA1" w14:textId="77777777" w:rsidR="00473DE1" w:rsidRDefault="00473DE1" w:rsidP="00A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4B10" w14:textId="77777777" w:rsidR="00473DE1" w:rsidRDefault="00473DE1" w:rsidP="00A81C01">
      <w:r>
        <w:separator/>
      </w:r>
    </w:p>
  </w:footnote>
  <w:footnote w:type="continuationSeparator" w:id="0">
    <w:p w14:paraId="2D8DF445" w14:textId="77777777" w:rsidR="00473DE1" w:rsidRDefault="00473DE1" w:rsidP="00A81C01">
      <w:r>
        <w:continuationSeparator/>
      </w:r>
    </w:p>
  </w:footnote>
  <w:footnote w:id="1">
    <w:p w14:paraId="1F31531D" w14:textId="77777777" w:rsidR="00A81C01" w:rsidRDefault="00A81C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2B4"/>
    <w:multiLevelType w:val="hybridMultilevel"/>
    <w:tmpl w:val="BC2C5DF6"/>
    <w:lvl w:ilvl="0" w:tplc="CA0236E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9679F5"/>
    <w:multiLevelType w:val="hybridMultilevel"/>
    <w:tmpl w:val="EA9E4F9A"/>
    <w:lvl w:ilvl="0" w:tplc="2850ED68">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86428A"/>
    <w:multiLevelType w:val="hybridMultilevel"/>
    <w:tmpl w:val="54E8AF0C"/>
    <w:lvl w:ilvl="0" w:tplc="D2909EF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6372C21"/>
    <w:multiLevelType w:val="hybridMultilevel"/>
    <w:tmpl w:val="1B422960"/>
    <w:lvl w:ilvl="0" w:tplc="7492A93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C336C7"/>
    <w:multiLevelType w:val="hybridMultilevel"/>
    <w:tmpl w:val="4BC88C8E"/>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FC52947"/>
    <w:multiLevelType w:val="hybridMultilevel"/>
    <w:tmpl w:val="78F82FDE"/>
    <w:lvl w:ilvl="0" w:tplc="ECF62E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607F4"/>
    <w:multiLevelType w:val="hybridMultilevel"/>
    <w:tmpl w:val="B4A6B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9E7C2C"/>
    <w:multiLevelType w:val="hybridMultilevel"/>
    <w:tmpl w:val="E6DC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3D3598F"/>
    <w:multiLevelType w:val="hybridMultilevel"/>
    <w:tmpl w:val="F9C0EB00"/>
    <w:lvl w:ilvl="0" w:tplc="720249B0">
      <w:start w:val="510"/>
      <w:numFmt w:val="bullet"/>
      <w:lvlText w:val="-"/>
      <w:lvlJc w:val="left"/>
      <w:pPr>
        <w:tabs>
          <w:tab w:val="num" w:pos="360"/>
        </w:tabs>
        <w:ind w:left="360" w:hanging="360"/>
      </w:pPr>
      <w:rPr>
        <w:rFonts w:ascii="Calibri" w:eastAsia="Century Schoolbook" w:hAnsi="Calibri" w:cs="Century Schoolbook"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5B7715"/>
    <w:multiLevelType w:val="hybridMultilevel"/>
    <w:tmpl w:val="7F36D436"/>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
  </w:num>
  <w:num w:numId="4">
    <w:abstractNumId w:val="9"/>
  </w:num>
  <w:num w:numId="5">
    <w:abstractNumId w:val="10"/>
  </w:num>
  <w:num w:numId="6">
    <w:abstractNumId w:val="4"/>
  </w:num>
  <w:num w:numId="7">
    <w:abstractNumId w:val="2"/>
  </w:num>
  <w:num w:numId="8">
    <w:abstractNumId w:val="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37"/>
    <w:rsid w:val="000A0731"/>
    <w:rsid w:val="00187B99"/>
    <w:rsid w:val="002014DD"/>
    <w:rsid w:val="00212CE4"/>
    <w:rsid w:val="00213BD6"/>
    <w:rsid w:val="00217944"/>
    <w:rsid w:val="002D4F83"/>
    <w:rsid w:val="002D5E17"/>
    <w:rsid w:val="0033437D"/>
    <w:rsid w:val="003B49E0"/>
    <w:rsid w:val="00400434"/>
    <w:rsid w:val="004412C1"/>
    <w:rsid w:val="00473DE1"/>
    <w:rsid w:val="004D1217"/>
    <w:rsid w:val="004D6008"/>
    <w:rsid w:val="00542054"/>
    <w:rsid w:val="0055555D"/>
    <w:rsid w:val="00640794"/>
    <w:rsid w:val="006F1772"/>
    <w:rsid w:val="00714EBE"/>
    <w:rsid w:val="0085464B"/>
    <w:rsid w:val="008942E7"/>
    <w:rsid w:val="008A1204"/>
    <w:rsid w:val="00900CCA"/>
    <w:rsid w:val="00924B77"/>
    <w:rsid w:val="00940DA2"/>
    <w:rsid w:val="009E055C"/>
    <w:rsid w:val="00A74F6F"/>
    <w:rsid w:val="00A80179"/>
    <w:rsid w:val="00A81C01"/>
    <w:rsid w:val="00A977AA"/>
    <w:rsid w:val="00AD7557"/>
    <w:rsid w:val="00B50C5D"/>
    <w:rsid w:val="00B51253"/>
    <w:rsid w:val="00B525CC"/>
    <w:rsid w:val="00BA0926"/>
    <w:rsid w:val="00C02D37"/>
    <w:rsid w:val="00C5709B"/>
    <w:rsid w:val="00CB54EF"/>
    <w:rsid w:val="00CE150B"/>
    <w:rsid w:val="00D404F2"/>
    <w:rsid w:val="00E32AC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E86D"/>
  <w15:docId w15:val="{53232193-8F9F-49A4-89ED-43C5208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4EBE"/>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EBE"/>
    <w:pPr>
      <w:ind w:left="720"/>
      <w:contextualSpacing/>
    </w:pPr>
  </w:style>
  <w:style w:type="paragraph" w:styleId="Testonotaapidipagina">
    <w:name w:val="footnote text"/>
    <w:basedOn w:val="Normale"/>
    <w:link w:val="TestonotaapidipaginaCarattere"/>
    <w:rsid w:val="00A81C01"/>
    <w:rPr>
      <w:sz w:val="20"/>
      <w:szCs w:val="20"/>
    </w:rPr>
  </w:style>
  <w:style w:type="character" w:customStyle="1" w:styleId="TestonotaapidipaginaCarattere">
    <w:name w:val="Testo nota a piè di pagina Carattere"/>
    <w:basedOn w:val="Carpredefinitoparagrafo"/>
    <w:link w:val="Testonotaapidipagina"/>
    <w:rsid w:val="00A81C01"/>
    <w:rPr>
      <w:rFonts w:eastAsia="MS Mincho"/>
      <w:lang w:eastAsia="ja-JP"/>
    </w:rPr>
  </w:style>
  <w:style w:type="character" w:styleId="Rimandonotaapidipagina">
    <w:name w:val="footnote reference"/>
    <w:basedOn w:val="Carpredefinitoparagrafo"/>
    <w:rsid w:val="00A81C01"/>
    <w:rPr>
      <w:vertAlign w:val="superscript"/>
    </w:rPr>
  </w:style>
  <w:style w:type="character" w:styleId="Collegamentoipertestuale">
    <w:name w:val="Hyperlink"/>
    <w:basedOn w:val="Carpredefinitoparagrafo"/>
    <w:rsid w:val="00A81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airoldi-giorgio-brunetti-vittorio-coda/corso-di-economia-aziendale-9788815106803-20836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runetti-giorgio/contabilita-e-bilancio-desercizio-9788817054324-1780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6F8F-907A-4032-B52F-E52BE351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5</Pages>
  <Words>1595</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2021-01-12T13:12:00Z</cp:lastPrinted>
  <dcterms:created xsi:type="dcterms:W3CDTF">2021-02-24T13:48:00Z</dcterms:created>
  <dcterms:modified xsi:type="dcterms:W3CDTF">2021-02-24T13:48:00Z</dcterms:modified>
</cp:coreProperties>
</file>