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E" w:rsidRPr="00294768" w:rsidRDefault="003B2EEE" w:rsidP="003B2EE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94768">
        <w:rPr>
          <w:rFonts w:ascii="Times" w:hAnsi="Times"/>
          <w:b/>
          <w:noProof/>
          <w:szCs w:val="20"/>
        </w:rPr>
        <w:t>Diritto tributario</w:t>
      </w:r>
    </w:p>
    <w:p w:rsidR="003B2EEE" w:rsidRPr="00294768" w:rsidRDefault="003B2EEE" w:rsidP="003B2E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94768">
        <w:rPr>
          <w:rFonts w:ascii="Times" w:hAnsi="Times"/>
          <w:smallCaps/>
          <w:noProof/>
          <w:sz w:val="18"/>
          <w:szCs w:val="20"/>
        </w:rPr>
        <w:t>Prof. Damiano Peruzza</w:t>
      </w:r>
    </w:p>
    <w:p w:rsidR="003B2EEE" w:rsidRPr="003B2EEE" w:rsidRDefault="003B2EEE" w:rsidP="003B2EEE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OBIETTIVO DEL CORSO E RISULTATI DI APPRENDIMENTO ATTESI</w:t>
      </w:r>
    </w:p>
    <w:p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 xml:space="preserve">Il corso si propone di fornire un inquadramento generale della materia con particolare attenzione ai principi costituzionali, allo Statuto dei diritti del contribuente, alla nozione e alla </w:t>
      </w:r>
      <w:r w:rsidR="00A35E49">
        <w:rPr>
          <w:rFonts w:eastAsia="MS Mincho"/>
        </w:rPr>
        <w:t>distinzione</w:t>
      </w:r>
      <w:r w:rsidRPr="00BC1BDA">
        <w:rPr>
          <w:rFonts w:eastAsia="MS Mincho"/>
        </w:rPr>
        <w:t xml:space="preserve">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imposta sulle successioni, tributo del bollo. </w:t>
      </w:r>
    </w:p>
    <w:p w:rsidR="003B2EEE" w:rsidRDefault="003B2EEE" w:rsidP="003B2EEE">
      <w:pPr>
        <w:spacing w:before="120"/>
        <w:rPr>
          <w:szCs w:val="20"/>
        </w:rPr>
      </w:pPr>
      <w:r>
        <w:rPr>
          <w:szCs w:val="20"/>
        </w:rPr>
        <w:t>Al termine del corso, ci si attende che lo studente:</w:t>
      </w:r>
    </w:p>
    <w:p w:rsidR="003B2EEE" w:rsidRDefault="003B2EEE" w:rsidP="004A026D">
      <w:pPr>
        <w:ind w:left="284" w:hanging="284"/>
        <w:rPr>
          <w:rFonts w:eastAsia="MS Mincho"/>
        </w:rPr>
      </w:pPr>
      <w:r>
        <w:rPr>
          <w:szCs w:val="20"/>
        </w:rPr>
        <w:t xml:space="preserve">1. </w:t>
      </w:r>
      <w:r w:rsidR="004A026D">
        <w:rPr>
          <w:szCs w:val="20"/>
        </w:rPr>
        <w:tab/>
      </w:r>
      <w:r>
        <w:rPr>
          <w:szCs w:val="20"/>
        </w:rPr>
        <w:t xml:space="preserve">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2. </w:t>
      </w:r>
      <w:r w:rsidR="004A026D">
        <w:rPr>
          <w:szCs w:val="20"/>
        </w:rPr>
        <w:tab/>
      </w:r>
      <w:r>
        <w:rPr>
          <w:szCs w:val="20"/>
        </w:rPr>
        <w:t>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3. </w:t>
      </w:r>
      <w:r w:rsidR="004A026D">
        <w:rPr>
          <w:szCs w:val="20"/>
        </w:rPr>
        <w:tab/>
      </w:r>
      <w:r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4. </w:t>
      </w:r>
      <w:r w:rsidR="004A026D">
        <w:rPr>
          <w:szCs w:val="20"/>
        </w:rPr>
        <w:tab/>
      </w:r>
      <w:r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5. </w:t>
      </w:r>
      <w:r w:rsidR="004A026D">
        <w:rPr>
          <w:szCs w:val="20"/>
        </w:rPr>
        <w:tab/>
      </w:r>
      <w:r>
        <w:rPr>
          <w:szCs w:val="20"/>
        </w:rPr>
        <w:t>sappia avanzare negli studi di Diritto tributario, con riguardo alla parte dei procedimenti di applicazione dei tributi e della fiscalità europea ed internazionale, con un alto grado di autonomia.</w:t>
      </w:r>
    </w:p>
    <w:p w:rsidR="002D5E17" w:rsidRDefault="003B2EEE" w:rsidP="003B2E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lastRenderedPageBreak/>
        <w:t>3.</w:t>
      </w:r>
      <w:r w:rsidRPr="00BC1BDA">
        <w:rPr>
          <w:rFonts w:eastAsia="MS Mincho"/>
        </w:rPr>
        <w:tab/>
        <w:t>L’attuazione delle imposte: cenni sulle fasi di accertamento e riscossione delle imposte.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4.</w:t>
      </w:r>
      <w:r w:rsidRPr="00BC1BDA">
        <w:rPr>
          <w:rFonts w:eastAsia="MS Mincho"/>
        </w:rPr>
        <w:tab/>
        <w:t>L’organizzazione dell’Amministrazione finanziaria.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6.</w:t>
      </w:r>
      <w:r w:rsidRPr="00BC1BDA">
        <w:rPr>
          <w:rFonts w:eastAsia="MS Mincho"/>
        </w:rPr>
        <w:tab/>
        <w:t>Lo Statuto dei diritti del contribuente.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:rsidR="003B2EEE" w:rsidRDefault="003B2EEE" w:rsidP="003B2E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D7F98">
        <w:rPr>
          <w:rStyle w:val="Rimandonotaapidipagina"/>
          <w:b/>
          <w:i/>
          <w:sz w:val="18"/>
        </w:rPr>
        <w:footnoteReference w:id="1"/>
      </w:r>
    </w:p>
    <w:p w:rsidR="003B2EEE" w:rsidRPr="00BC1BDA" w:rsidRDefault="003B2EEE" w:rsidP="003B2EEE">
      <w:pPr>
        <w:pStyle w:val="Testo2"/>
      </w:pPr>
      <w:r>
        <w:t>Testi adottati</w:t>
      </w:r>
    </w:p>
    <w:p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E. De Mita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Principi di diritto tributario,</w:t>
      </w:r>
      <w:r w:rsidRPr="003B2EEE">
        <w:rPr>
          <w:spacing w:val="-5"/>
          <w:szCs w:val="18"/>
        </w:rPr>
        <w:t xml:space="preserve"> Giuffrè, Milano, 2019 (da studiare le Parti seguenti: Prima; Seconda - Titolo Primo, fino all’applicazione dell’imposta sui redditi; Terza; Quinta).</w:t>
      </w:r>
      <w:r w:rsidR="008D7F98">
        <w:rPr>
          <w:spacing w:val="-5"/>
          <w:szCs w:val="18"/>
        </w:rPr>
        <w:t xml:space="preserve"> </w:t>
      </w:r>
      <w:hyperlink r:id="rId8" w:history="1">
        <w:r w:rsidR="008D7F98" w:rsidRPr="008D7F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Temi di diritto tributario,</w:t>
      </w:r>
      <w:r w:rsidRPr="003B2EEE">
        <w:rPr>
          <w:spacing w:val="-5"/>
          <w:szCs w:val="18"/>
        </w:rPr>
        <w:t xml:space="preserve"> Pacini Giuridica, Pisa, 2019 (letture dei paragafi nn. 1, 3, 11, 17, 19 e 20).</w:t>
      </w:r>
      <w:r w:rsidR="008D7F98">
        <w:rPr>
          <w:spacing w:val="-5"/>
          <w:szCs w:val="18"/>
        </w:rPr>
        <w:t xml:space="preserve"> </w:t>
      </w:r>
      <w:hyperlink r:id="rId9" w:history="1">
        <w:r w:rsidR="008D7F98" w:rsidRPr="008D7F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Codice tributario </w:t>
      </w:r>
      <w:r w:rsidR="00A35E49">
        <w:rPr>
          <w:i/>
          <w:spacing w:val="-5"/>
          <w:szCs w:val="18"/>
        </w:rPr>
        <w:t>2020</w:t>
      </w:r>
      <w:r w:rsidRPr="003B2EEE">
        <w:rPr>
          <w:i/>
          <w:spacing w:val="-5"/>
          <w:szCs w:val="18"/>
        </w:rPr>
        <w:t>,</w:t>
      </w:r>
      <w:r w:rsidRPr="003B2EEE">
        <w:rPr>
          <w:spacing w:val="-5"/>
          <w:szCs w:val="18"/>
        </w:rPr>
        <w:t xml:space="preserve"> Pacini Giuridica, Pisa, </w:t>
      </w:r>
      <w:r w:rsidR="00A35E49">
        <w:rPr>
          <w:spacing w:val="-5"/>
          <w:szCs w:val="18"/>
        </w:rPr>
        <w:t>2020</w:t>
      </w:r>
      <w:r w:rsidRPr="003B2EEE">
        <w:rPr>
          <w:spacing w:val="-5"/>
          <w:szCs w:val="18"/>
        </w:rPr>
        <w:t>.</w:t>
      </w:r>
      <w:r w:rsidR="008D7F98">
        <w:rPr>
          <w:spacing w:val="-5"/>
          <w:szCs w:val="18"/>
        </w:rPr>
        <w:t xml:space="preserve"> </w:t>
      </w:r>
      <w:hyperlink r:id="rId10" w:history="1">
        <w:r w:rsidR="008D7F98" w:rsidRPr="008D7F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B2EEE" w:rsidRDefault="003B2EEE" w:rsidP="003B2EEE">
      <w:pPr>
        <w:pStyle w:val="Testo2"/>
      </w:pPr>
      <w:r w:rsidRPr="00BC1BDA">
        <w:t>Lezioni frontali</w:t>
      </w:r>
      <w:r>
        <w:t xml:space="preserve"> e discussione di casi di studio.</w:t>
      </w:r>
    </w:p>
    <w:p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B2EEE" w:rsidRDefault="003B2EEE" w:rsidP="003B2EEE">
      <w:pPr>
        <w:pStyle w:val="Testo2"/>
      </w:pPr>
      <w:r w:rsidRPr="00294768">
        <w:t>Prova d’esame orale.</w:t>
      </w:r>
      <w:r>
        <w:t xml:space="preserve"> E’ prevista per i soli studenti frequentanti la possibilità di accedere ad una prova intermedia scritta, avente ad oggetto la parte del programma conclusa nel primo semestre. In tal caso, il 50% della valutazione complessiva è effettuato mediante tale prova scritta, il cui superamento consente di sostenere la prova orale finale sulla sola parte del programma residuo. </w:t>
      </w:r>
      <w:r w:rsidRPr="00BC1BDA">
        <w:t xml:space="preserve">L’esame è volto ad accertare l’apprendimento della materia mediante la formulazione di domande inerenti </w:t>
      </w:r>
      <w:r>
        <w:t>al programma del corso</w:t>
      </w:r>
      <w:r w:rsidRPr="00BC1BDA">
        <w:t>. Il contenuto, la terminologia e l’adeguatezza delle risposte del candidato saranno valutati secondo i parametr</w:t>
      </w:r>
      <w:r>
        <w:t>i da sufficiente ad eccellente.</w:t>
      </w:r>
    </w:p>
    <w:p w:rsidR="003B2EEE" w:rsidRPr="00096E80" w:rsidRDefault="003B2EEE" w:rsidP="003B2EEE">
      <w:pPr>
        <w:pStyle w:val="Testo2"/>
        <w:spacing w:before="120"/>
        <w:rPr>
          <w:szCs w:val="18"/>
        </w:rPr>
      </w:pPr>
      <w:r w:rsidRPr="00096E80">
        <w:rPr>
          <w:szCs w:val="18"/>
        </w:rPr>
        <w:t>Nell’attribuzione del voto si terrà conto:</w:t>
      </w:r>
    </w:p>
    <w:p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 grado di conoscenza delle tematiche trattate e della maggiore o minore capacità di applicare le conoscenze acquisite;</w:t>
      </w:r>
    </w:p>
    <w:p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lastRenderedPageBreak/>
        <w:t>–</w:t>
      </w:r>
      <w:r>
        <w:rPr>
          <w:szCs w:val="18"/>
        </w:rPr>
        <w:tab/>
      </w:r>
      <w:r w:rsidR="003B2EEE" w:rsidRPr="00096E80">
        <w:rPr>
          <w:szCs w:val="18"/>
        </w:rPr>
        <w:t>dell’utilizzo di un linguaggio che denoti proprietà espressiva specifica nell’area giuridica, e in particolare del diritto tributario, o, al contrario, del ricorso ad un linguaggio più o meno inadeguato o più o meno scorretto;</w:t>
      </w:r>
    </w:p>
    <w:p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:rsidR="003B2EEE" w:rsidRPr="00096E80" w:rsidRDefault="004A026D" w:rsidP="004A026D">
      <w:pPr>
        <w:pStyle w:val="Testo2"/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della emersione di eventuali lacune formative, del relativo grado di gravità e della circostanza che esse si riferiscano a parti più o meno ampie del programma;</w:t>
      </w:r>
    </w:p>
    <w:p w:rsidR="003B2EEE" w:rsidRPr="00614628" w:rsidRDefault="004A026D" w:rsidP="004A026D">
      <w:pPr>
        <w:pStyle w:val="Testo2"/>
        <w:ind w:left="567" w:hanging="283"/>
        <w:rPr>
          <w:b/>
          <w:i/>
        </w:rPr>
      </w:pPr>
      <w:r>
        <w:t>–</w:t>
      </w:r>
      <w:r>
        <w:tab/>
      </w:r>
      <w:r w:rsidR="003B2EEE" w:rsidRPr="00096E80">
        <w:t>del grado di capacità di orientarsi tra le fonti legislative di ciascuna parte del programma.</w:t>
      </w:r>
    </w:p>
    <w:p w:rsidR="003B2EEE" w:rsidRDefault="003B2EEE" w:rsidP="003B2E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B2EEE" w:rsidRPr="00294768" w:rsidRDefault="003B2EEE" w:rsidP="003B2EEE">
      <w:pPr>
        <w:pStyle w:val="Testo2"/>
      </w:pPr>
      <w:r w:rsidRPr="00294768">
        <w:t>Si consiglia vivamente la frequenza del corso per il costante riferimento alla giurisprudenza e a casi pratici.</w:t>
      </w:r>
    </w:p>
    <w:p w:rsidR="003B2EEE" w:rsidRPr="00BC1BDA" w:rsidRDefault="003B2EEE" w:rsidP="003B2EEE">
      <w:pPr>
        <w:pStyle w:val="Testo2"/>
      </w:pPr>
      <w:r w:rsidRPr="00BC1BDA">
        <w:t xml:space="preserve">Materiali didattici relativi ad alcuni argomenti trattati durante il corso </w:t>
      </w:r>
      <w:r>
        <w:t>saranno indicati dal docente.</w:t>
      </w:r>
    </w:p>
    <w:p w:rsidR="003B2EEE" w:rsidRDefault="003B2EEE" w:rsidP="003B2EEE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</w:t>
      </w:r>
      <w:r w:rsidR="00A35E49">
        <w:t>2020</w:t>
      </w:r>
      <w:r w:rsidRPr="00913EAF">
        <w:t>.</w:t>
      </w:r>
    </w:p>
    <w:p w:rsidR="003B2EEE" w:rsidRDefault="003B2EEE" w:rsidP="003B2EEE">
      <w:pPr>
        <w:pStyle w:val="Testo2"/>
        <w:rPr>
          <w:rFonts w:ascii="Times New Roman" w:eastAsia="MS Mincho" w:hAnsi="Times New Roman"/>
          <w:noProof w:val="0"/>
          <w:szCs w:val="18"/>
        </w:rPr>
      </w:pPr>
      <w:r w:rsidRPr="00294768">
        <w:rPr>
          <w:rFonts w:ascii="Times New Roman" w:eastAsia="MS Mincho" w:hAnsi="Times New Roman"/>
          <w:noProof w:val="0"/>
          <w:szCs w:val="18"/>
        </w:rPr>
        <w:t>Si consiglia, inoltre, di sostenere l’esame dopo aver quantomeno studiato Istituzioni di diritto privato</w:t>
      </w:r>
      <w:r>
        <w:rPr>
          <w:rFonts w:ascii="Times New Roman" w:eastAsia="MS Mincho" w:hAnsi="Times New Roman"/>
          <w:noProof w:val="0"/>
          <w:szCs w:val="18"/>
        </w:rPr>
        <w:t>,</w:t>
      </w:r>
      <w:r w:rsidRPr="00294768">
        <w:rPr>
          <w:rFonts w:ascii="Times New Roman" w:eastAsia="MS Mincho" w:hAnsi="Times New Roman"/>
          <w:noProof w:val="0"/>
          <w:szCs w:val="18"/>
        </w:rPr>
        <w:t xml:space="preserve"> Diritto commerciale</w:t>
      </w:r>
      <w:r>
        <w:rPr>
          <w:rFonts w:ascii="Times New Roman" w:eastAsia="MS Mincho" w:hAnsi="Times New Roman"/>
          <w:noProof w:val="0"/>
          <w:szCs w:val="18"/>
        </w:rPr>
        <w:t xml:space="preserve"> e Diritto pubblico</w:t>
      </w:r>
      <w:r w:rsidRPr="00294768">
        <w:rPr>
          <w:rFonts w:ascii="Times New Roman" w:eastAsia="MS Mincho" w:hAnsi="Times New Roman"/>
          <w:noProof w:val="0"/>
          <w:szCs w:val="18"/>
        </w:rPr>
        <w:t>.</w:t>
      </w:r>
    </w:p>
    <w:p w:rsidR="004B2643" w:rsidRPr="004B2643" w:rsidRDefault="004B2643" w:rsidP="004B2643">
      <w:pPr>
        <w:pStyle w:val="Testo2"/>
      </w:pPr>
      <w:r w:rsidRPr="004B264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4B2643" w:rsidRPr="004B2643" w:rsidRDefault="004B2643" w:rsidP="004B2643">
      <w:pPr>
        <w:pStyle w:val="Testo2"/>
      </w:pPr>
    </w:p>
    <w:sectPr w:rsidR="004B2643" w:rsidRPr="004B26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98" w:rsidRDefault="008D7F98" w:rsidP="008D7F98">
      <w:pPr>
        <w:spacing w:line="240" w:lineRule="auto"/>
      </w:pPr>
      <w:r>
        <w:separator/>
      </w:r>
    </w:p>
  </w:endnote>
  <w:endnote w:type="continuationSeparator" w:id="0">
    <w:p w:rsidR="008D7F98" w:rsidRDefault="008D7F98" w:rsidP="008D7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98" w:rsidRDefault="008D7F98" w:rsidP="008D7F98">
      <w:pPr>
        <w:spacing w:line="240" w:lineRule="auto"/>
      </w:pPr>
      <w:r>
        <w:separator/>
      </w:r>
    </w:p>
  </w:footnote>
  <w:footnote w:type="continuationSeparator" w:id="0">
    <w:p w:rsidR="008D7F98" w:rsidRDefault="008D7F98" w:rsidP="008D7F98">
      <w:pPr>
        <w:spacing w:line="240" w:lineRule="auto"/>
      </w:pPr>
      <w:r>
        <w:continuationSeparator/>
      </w:r>
    </w:p>
  </w:footnote>
  <w:footnote w:id="1">
    <w:p w:rsidR="008D7F98" w:rsidRDefault="008D7F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4"/>
    <w:rsid w:val="00073A6C"/>
    <w:rsid w:val="00187B99"/>
    <w:rsid w:val="002014DD"/>
    <w:rsid w:val="002A4294"/>
    <w:rsid w:val="002D5E17"/>
    <w:rsid w:val="003B2EEE"/>
    <w:rsid w:val="004A026D"/>
    <w:rsid w:val="004B2643"/>
    <w:rsid w:val="004D1217"/>
    <w:rsid w:val="004D6008"/>
    <w:rsid w:val="00640794"/>
    <w:rsid w:val="006F1772"/>
    <w:rsid w:val="008942E7"/>
    <w:rsid w:val="008A1204"/>
    <w:rsid w:val="008D7F98"/>
    <w:rsid w:val="00900CCA"/>
    <w:rsid w:val="00924B77"/>
    <w:rsid w:val="00940DA2"/>
    <w:rsid w:val="009E055C"/>
    <w:rsid w:val="00A35E49"/>
    <w:rsid w:val="00A74F6F"/>
    <w:rsid w:val="00AD7557"/>
    <w:rsid w:val="00B50C5D"/>
    <w:rsid w:val="00B51253"/>
    <w:rsid w:val="00B525CC"/>
    <w:rsid w:val="00D404F2"/>
    <w:rsid w:val="00DD26FA"/>
    <w:rsid w:val="00E607E6"/>
    <w:rsid w:val="00F7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E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D7F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7F98"/>
  </w:style>
  <w:style w:type="character" w:styleId="Rimandonotaapidipagina">
    <w:name w:val="footnote reference"/>
    <w:basedOn w:val="Carpredefinitoparagrafo"/>
    <w:semiHidden/>
    <w:unhideWhenUsed/>
    <w:rsid w:val="008D7F98"/>
    <w:rPr>
      <w:vertAlign w:val="superscript"/>
    </w:rPr>
  </w:style>
  <w:style w:type="character" w:styleId="Collegamentoipertestuale">
    <w:name w:val="Hyperlink"/>
    <w:basedOn w:val="Carpredefinitoparagrafo"/>
    <w:unhideWhenUsed/>
    <w:rsid w:val="008D7F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E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D7F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7F98"/>
  </w:style>
  <w:style w:type="character" w:styleId="Rimandonotaapidipagina">
    <w:name w:val="footnote reference"/>
    <w:basedOn w:val="Carpredefinitoparagrafo"/>
    <w:semiHidden/>
    <w:unhideWhenUsed/>
    <w:rsid w:val="008D7F98"/>
    <w:rPr>
      <w:vertAlign w:val="superscript"/>
    </w:rPr>
  </w:style>
  <w:style w:type="character" w:styleId="Collegamentoipertestuale">
    <w:name w:val="Hyperlink"/>
    <w:basedOn w:val="Carpredefinitoparagrafo"/>
    <w:unhideWhenUsed/>
    <w:rsid w:val="008D7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mita/principi-di-diritto-tributario-9788828810650-674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urizio-logozzo/codice-tributario-2020-9788833791876-6858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lagozzo/temi-di-diritto-tributario-9788833791111-6765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3D50-B20B-4658-8736-933DF6EC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792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2020-05-26T08:03:00Z</dcterms:created>
  <dcterms:modified xsi:type="dcterms:W3CDTF">2020-07-13T13:23:00Z</dcterms:modified>
</cp:coreProperties>
</file>