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348AA" w14:textId="77777777" w:rsidR="002D5E17" w:rsidRPr="003D558A" w:rsidRDefault="003D558A" w:rsidP="002D5E17">
      <w:pPr>
        <w:pStyle w:val="Titolo1"/>
        <w:rPr>
          <w:lang w:val="en-US"/>
        </w:rPr>
      </w:pPr>
      <w:r w:rsidRPr="003D558A">
        <w:rPr>
          <w:lang w:val="en-US"/>
        </w:rPr>
        <w:t>Change management</w:t>
      </w:r>
    </w:p>
    <w:p w14:paraId="30578FD5" w14:textId="77777777" w:rsidR="003D558A" w:rsidRPr="003D558A" w:rsidRDefault="003D558A" w:rsidP="003D558A">
      <w:pPr>
        <w:pStyle w:val="Titolo2"/>
        <w:rPr>
          <w:lang w:val="en-US"/>
        </w:rPr>
      </w:pPr>
      <w:r w:rsidRPr="003D558A">
        <w:rPr>
          <w:lang w:val="en-US"/>
        </w:rPr>
        <w:t xml:space="preserve">Prof. Giacomo Manara; Prof. Francisco </w:t>
      </w:r>
      <w:r w:rsidR="00BD76CB">
        <w:rPr>
          <w:lang w:val="en-US"/>
        </w:rPr>
        <w:t xml:space="preserve">J. </w:t>
      </w:r>
      <w:r w:rsidRPr="003D558A">
        <w:rPr>
          <w:lang w:val="en-US"/>
        </w:rPr>
        <w:t>Lara</w:t>
      </w:r>
    </w:p>
    <w:p w14:paraId="2A35A257" w14:textId="77777777" w:rsidR="003D558A" w:rsidRPr="00514034" w:rsidRDefault="003D558A" w:rsidP="003D558A">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6A1B3C7" w14:textId="77777777" w:rsidR="003D558A" w:rsidRDefault="003D558A" w:rsidP="003D558A">
      <w:pPr>
        <w:rPr>
          <w:lang w:val="en-US"/>
        </w:rPr>
      </w:pPr>
      <w:r w:rsidRPr="00B92EC4">
        <w:rPr>
          <w:lang w:val="en-US"/>
        </w:rPr>
        <w:t xml:space="preserve">The course aims at acquiring new skills and competences for understanding, facing, managing and leading the impact of rapidly changing organizations. </w:t>
      </w:r>
    </w:p>
    <w:p w14:paraId="647AC0C4" w14:textId="77777777" w:rsidR="003D558A" w:rsidRDefault="003D558A" w:rsidP="003D558A">
      <w:pPr>
        <w:rPr>
          <w:lang w:val="en-US"/>
        </w:rPr>
      </w:pPr>
      <w:r w:rsidRPr="00B92EC4">
        <w:rPr>
          <w:lang w:val="en-US"/>
        </w:rPr>
        <w:t xml:space="preserve">In the real world, the most carefully developed plans for change can, and often do, fail during the implementation phase. This affects the lives of managers and employees, and it is due to uncertainty: managers often cannot recognize change, predict how change can be deployed, as well as the effects it produces. </w:t>
      </w:r>
    </w:p>
    <w:p w14:paraId="5442197C" w14:textId="77777777" w:rsidR="003D558A" w:rsidRPr="00B92EC4" w:rsidRDefault="003D558A" w:rsidP="003D558A">
      <w:pPr>
        <w:rPr>
          <w:lang w:val="en-US"/>
        </w:rPr>
      </w:pPr>
      <w:r w:rsidRPr="00B92EC4">
        <w:rPr>
          <w:lang w:val="en-US"/>
        </w:rPr>
        <w:t>Students will understand, on the basis of the theory as well as of a huge quantity of examples and case stories, how inevitable is the change, how to approach a change management process in order to better control its dynamics and effects, as well as how to lead people to change.</w:t>
      </w:r>
    </w:p>
    <w:p w14:paraId="06D894AC" w14:textId="77777777" w:rsidR="003D558A" w:rsidRPr="00B72F65" w:rsidRDefault="003D558A" w:rsidP="003D558A">
      <w:pPr>
        <w:rPr>
          <w:lang w:val="en-US"/>
        </w:rPr>
      </w:pPr>
      <w:r w:rsidRPr="003D558A">
        <w:rPr>
          <w:i/>
          <w:lang w:val="en-US"/>
        </w:rPr>
        <w:t>Specific objectives</w:t>
      </w:r>
      <w:r w:rsidRPr="00B72F65">
        <w:rPr>
          <w:lang w:val="en-US"/>
        </w:rPr>
        <w:t xml:space="preserve"> of the course on </w:t>
      </w:r>
      <w:r w:rsidRPr="003D558A">
        <w:rPr>
          <w:lang w:val="en-US"/>
        </w:rPr>
        <w:t>Change Management are:</w:t>
      </w:r>
    </w:p>
    <w:p w14:paraId="3DCC502B" w14:textId="77777777" w:rsidR="003D558A" w:rsidRPr="00B72F65" w:rsidRDefault="003D558A" w:rsidP="003D558A">
      <w:pPr>
        <w:rPr>
          <w:lang w:val="en-US"/>
        </w:rPr>
      </w:pPr>
      <w:r w:rsidRPr="00B72F65">
        <w:rPr>
          <w:lang w:val="en-US"/>
        </w:rPr>
        <w:t>To understand what happens in the external scenario and how it acts as a driver for the change.</w:t>
      </w:r>
    </w:p>
    <w:p w14:paraId="622C589C" w14:textId="2F58FCAB" w:rsidR="003D558A" w:rsidRPr="00CB79EF" w:rsidRDefault="003D558A" w:rsidP="003D558A">
      <w:pPr>
        <w:rPr>
          <w:lang w:val="en-US"/>
        </w:rPr>
      </w:pPr>
      <w:r w:rsidRPr="00CB79EF">
        <w:rPr>
          <w:lang w:val="en-US"/>
        </w:rPr>
        <w:t xml:space="preserve">To know how to consider the organizational structures, the soft and hard methodologies, the culture and the leadership as key elements for the </w:t>
      </w:r>
      <w:proofErr w:type="spellStart"/>
      <w:r w:rsidRPr="00CB79EF">
        <w:rPr>
          <w:lang w:val="en-US"/>
        </w:rPr>
        <w:t>accomplish</w:t>
      </w:r>
      <w:r w:rsidR="00A11DCE">
        <w:rPr>
          <w:lang w:val="en-US"/>
        </w:rPr>
        <w:t>ement</w:t>
      </w:r>
      <w:proofErr w:type="spellEnd"/>
      <w:r w:rsidR="00A11DCE">
        <w:rPr>
          <w:lang w:val="en-US"/>
        </w:rPr>
        <w:t xml:space="preserve"> of the strategies as well</w:t>
      </w:r>
      <w:r w:rsidRPr="00CB79EF">
        <w:rPr>
          <w:lang w:val="en-US"/>
        </w:rPr>
        <w:t xml:space="preserve"> as a basis of the change.</w:t>
      </w:r>
    </w:p>
    <w:p w14:paraId="5A505474" w14:textId="77777777" w:rsidR="003D558A" w:rsidRPr="003D558A" w:rsidRDefault="003D558A" w:rsidP="003D558A">
      <w:pPr>
        <w:rPr>
          <w:i/>
          <w:lang w:val="en-US"/>
        </w:rPr>
      </w:pPr>
      <w:r w:rsidRPr="003D558A">
        <w:rPr>
          <w:i/>
          <w:lang w:val="en-US"/>
        </w:rPr>
        <w:t>Learning outcomes:</w:t>
      </w:r>
    </w:p>
    <w:p w14:paraId="56C4C2AD" w14:textId="77777777" w:rsidR="003D558A" w:rsidRPr="00B72F65" w:rsidRDefault="003D558A" w:rsidP="003D558A">
      <w:pPr>
        <w:rPr>
          <w:lang w:val="en-US"/>
        </w:rPr>
      </w:pPr>
      <w:r w:rsidRPr="00B72F65">
        <w:rPr>
          <w:color w:val="2A2A2A"/>
          <w:lang w:val="en-US"/>
        </w:rPr>
        <w:t xml:space="preserve">Knowledge and understanding of </w:t>
      </w:r>
      <w:r w:rsidRPr="00B72F65">
        <w:rPr>
          <w:lang w:val="en-US"/>
        </w:rPr>
        <w:t>the processes and the projects of change, applied to specific organizations and to professional situations.</w:t>
      </w:r>
    </w:p>
    <w:p w14:paraId="556D4D33" w14:textId="77777777" w:rsidR="003D558A" w:rsidRPr="00B72F65" w:rsidRDefault="003D558A" w:rsidP="003D558A">
      <w:pPr>
        <w:rPr>
          <w:color w:val="2A2A2A"/>
          <w:lang w:val="en-US"/>
        </w:rPr>
      </w:pPr>
      <w:r w:rsidRPr="00B72F65">
        <w:rPr>
          <w:color w:val="2A2A2A"/>
          <w:lang w:val="en-US"/>
        </w:rPr>
        <w:t>Applying knowledge and understanding to enterprises that are facing significant changes in the external and internal scenario.</w:t>
      </w:r>
    </w:p>
    <w:p w14:paraId="5D377C03" w14:textId="77777777" w:rsidR="003D558A" w:rsidRPr="00B72F65" w:rsidRDefault="003D558A" w:rsidP="003D558A">
      <w:pPr>
        <w:rPr>
          <w:color w:val="2A2A2A"/>
          <w:lang w:val="en-US"/>
        </w:rPr>
      </w:pPr>
      <w:r w:rsidRPr="00B72F65">
        <w:rPr>
          <w:color w:val="2A2A2A"/>
          <w:lang w:val="en-US"/>
        </w:rPr>
        <w:t>Making judgements on when, why and how it is necessary to change along the life of a given organization.</w:t>
      </w:r>
    </w:p>
    <w:p w14:paraId="349D5ACE" w14:textId="77777777" w:rsidR="003D558A" w:rsidRPr="00B72F65" w:rsidRDefault="003D558A" w:rsidP="003D558A">
      <w:pPr>
        <w:rPr>
          <w:color w:val="2A2A2A"/>
          <w:lang w:val="en-US"/>
        </w:rPr>
      </w:pPr>
      <w:r w:rsidRPr="00B72F65">
        <w:rPr>
          <w:color w:val="2A2A2A"/>
          <w:lang w:val="en-US"/>
        </w:rPr>
        <w:t>Effective communication of the programs and the projects for the change, in order to convince the management of the organizations involved.</w:t>
      </w:r>
    </w:p>
    <w:p w14:paraId="13B150E7" w14:textId="77777777" w:rsidR="003D558A" w:rsidRPr="00B72F65" w:rsidRDefault="003D558A" w:rsidP="003D558A">
      <w:pPr>
        <w:rPr>
          <w:lang w:val="en-US"/>
        </w:rPr>
      </w:pPr>
      <w:r w:rsidRPr="00B72F65">
        <w:rPr>
          <w:lang w:val="en-US"/>
        </w:rPr>
        <w:t>Understanding and managing individual reactions to the change situations, keeping under control the intellectual, emotional and relational side of everybody professional activity.</w:t>
      </w:r>
    </w:p>
    <w:p w14:paraId="14796D03" w14:textId="77777777" w:rsidR="003D558A" w:rsidRPr="00514034" w:rsidRDefault="003D558A" w:rsidP="003D558A">
      <w:pPr>
        <w:spacing w:before="240" w:after="120"/>
        <w:rPr>
          <w:b/>
          <w:i/>
          <w:sz w:val="18"/>
          <w:lang w:val="en-US"/>
        </w:rPr>
      </w:pPr>
      <w:r w:rsidRPr="00514034">
        <w:rPr>
          <w:b/>
          <w:i/>
          <w:sz w:val="18"/>
          <w:lang w:val="en-US"/>
        </w:rPr>
        <w:t>COURSE CONTENT</w:t>
      </w:r>
    </w:p>
    <w:p w14:paraId="1157BD52" w14:textId="77777777" w:rsidR="003D558A" w:rsidRDefault="003D558A" w:rsidP="003D558A">
      <w:pPr>
        <w:rPr>
          <w:lang w:val="en-US"/>
        </w:rPr>
      </w:pPr>
      <w:r w:rsidRPr="00B92EC4">
        <w:rPr>
          <w:lang w:val="en-US"/>
        </w:rPr>
        <w:t>The course is divided into two main knowledge areas (modules)</w:t>
      </w:r>
      <w:r>
        <w:rPr>
          <w:lang w:val="en-US"/>
        </w:rPr>
        <w:t>.</w:t>
      </w:r>
    </w:p>
    <w:p w14:paraId="6E06B33A" w14:textId="77777777" w:rsidR="003D558A" w:rsidRPr="006B5AD3" w:rsidRDefault="003D558A" w:rsidP="003D558A">
      <w:pPr>
        <w:rPr>
          <w:lang w:val="en-US"/>
        </w:rPr>
      </w:pPr>
      <w:r>
        <w:rPr>
          <w:lang w:val="en-US"/>
        </w:rPr>
        <w:t>Knowledge Area #</w:t>
      </w:r>
      <w:r w:rsidRPr="006B5AD3">
        <w:rPr>
          <w:lang w:val="en-US"/>
        </w:rPr>
        <w:t xml:space="preserve">1 (first module): </w:t>
      </w:r>
      <w:r w:rsidRPr="00D43A6F">
        <w:rPr>
          <w:i/>
          <w:lang w:val="en-US"/>
        </w:rPr>
        <w:t>Managing change</w:t>
      </w:r>
      <w:r w:rsidRPr="006B5AD3">
        <w:rPr>
          <w:lang w:val="en-US"/>
        </w:rPr>
        <w:t xml:space="preserve"> (Prof. Giacomo Manara)</w:t>
      </w:r>
    </w:p>
    <w:p w14:paraId="12169A01" w14:textId="77777777" w:rsidR="003D558A" w:rsidRPr="006B5AD3" w:rsidRDefault="003D558A" w:rsidP="003D558A">
      <w:pPr>
        <w:rPr>
          <w:lang w:val="en-US"/>
        </w:rPr>
      </w:pPr>
      <w:r w:rsidRPr="006B5AD3">
        <w:rPr>
          <w:lang w:val="en-US"/>
        </w:rPr>
        <w:t>–</w:t>
      </w:r>
      <w:r w:rsidRPr="006B5AD3">
        <w:rPr>
          <w:lang w:val="en-US"/>
        </w:rPr>
        <w:tab/>
        <w:t>The nature of organizational change.</w:t>
      </w:r>
    </w:p>
    <w:p w14:paraId="081EDB6E" w14:textId="77777777" w:rsidR="003D558A" w:rsidRPr="006B5AD3" w:rsidRDefault="003D558A" w:rsidP="003D558A">
      <w:pPr>
        <w:rPr>
          <w:lang w:val="en-US"/>
        </w:rPr>
      </w:pPr>
      <w:r w:rsidRPr="006B5AD3">
        <w:rPr>
          <w:lang w:val="en-US"/>
        </w:rPr>
        <w:lastRenderedPageBreak/>
        <w:t>–</w:t>
      </w:r>
      <w:r w:rsidRPr="006B5AD3">
        <w:rPr>
          <w:lang w:val="en-US"/>
        </w:rPr>
        <w:tab/>
        <w:t>How change emerges in organizations.</w:t>
      </w:r>
    </w:p>
    <w:p w14:paraId="22D4ADE1" w14:textId="77777777" w:rsidR="003D558A" w:rsidRPr="006B5AD3" w:rsidRDefault="003D558A" w:rsidP="003D558A">
      <w:pPr>
        <w:rPr>
          <w:lang w:val="en-US"/>
        </w:rPr>
      </w:pPr>
      <w:r w:rsidRPr="006B5AD3">
        <w:rPr>
          <w:lang w:val="en-US"/>
        </w:rPr>
        <w:t>–</w:t>
      </w:r>
      <w:r w:rsidRPr="006B5AD3">
        <w:rPr>
          <w:lang w:val="en-US"/>
        </w:rPr>
        <w:tab/>
        <w:t>How the organizational structures are combined with change.</w:t>
      </w:r>
    </w:p>
    <w:p w14:paraId="541F5CF1" w14:textId="77777777" w:rsidR="003D558A" w:rsidRPr="006B5AD3" w:rsidRDefault="003D558A" w:rsidP="003D558A">
      <w:pPr>
        <w:rPr>
          <w:lang w:val="en-US"/>
        </w:rPr>
      </w:pPr>
      <w:r w:rsidRPr="006B5AD3">
        <w:rPr>
          <w:lang w:val="en-US"/>
        </w:rPr>
        <w:t>–</w:t>
      </w:r>
      <w:r w:rsidRPr="006B5AD3">
        <w:rPr>
          <w:lang w:val="en-US"/>
        </w:rPr>
        <w:tab/>
        <w:t>Strategies of change and its communication.</w:t>
      </w:r>
    </w:p>
    <w:p w14:paraId="523D58F9" w14:textId="77777777" w:rsidR="003D558A" w:rsidRPr="006B5AD3" w:rsidRDefault="003D558A" w:rsidP="003D558A">
      <w:pPr>
        <w:ind w:left="284" w:hanging="284"/>
        <w:rPr>
          <w:lang w:val="en-US"/>
        </w:rPr>
      </w:pPr>
      <w:r w:rsidRPr="006B5AD3">
        <w:rPr>
          <w:lang w:val="en-US"/>
        </w:rPr>
        <w:t>–</w:t>
      </w:r>
      <w:r w:rsidRPr="006B5AD3">
        <w:rPr>
          <w:lang w:val="en-US"/>
        </w:rPr>
        <w:tab/>
        <w:t>Change readiness, enablers and obstacles to change.</w:t>
      </w:r>
    </w:p>
    <w:p w14:paraId="168B36FB" w14:textId="77777777" w:rsidR="003D558A" w:rsidRPr="006B5AD3" w:rsidRDefault="003D558A" w:rsidP="003D558A">
      <w:pPr>
        <w:ind w:left="284" w:hanging="284"/>
        <w:rPr>
          <w:lang w:val="en-US"/>
        </w:rPr>
      </w:pPr>
      <w:r w:rsidRPr="006B5AD3">
        <w:rPr>
          <w:lang w:val="en-US"/>
        </w:rPr>
        <w:t>–</w:t>
      </w:r>
      <w:r w:rsidRPr="006B5AD3">
        <w:rPr>
          <w:lang w:val="en-US"/>
        </w:rPr>
        <w:tab/>
        <w:t>Successful processes of organization change: hard and soft systems models for change.</w:t>
      </w:r>
    </w:p>
    <w:p w14:paraId="75C8EB96" w14:textId="77777777" w:rsidR="003D558A" w:rsidRDefault="003D558A" w:rsidP="003D558A">
      <w:pPr>
        <w:ind w:left="284" w:hanging="284"/>
        <w:rPr>
          <w:lang w:val="en-US"/>
        </w:rPr>
      </w:pPr>
      <w:r w:rsidRPr="006B5AD3">
        <w:rPr>
          <w:lang w:val="en-US"/>
        </w:rPr>
        <w:t>–</w:t>
      </w:r>
      <w:r w:rsidRPr="006B5AD3">
        <w:rPr>
          <w:lang w:val="en-US"/>
        </w:rPr>
        <w:tab/>
        <w:t>Change implementation and its performance.</w:t>
      </w:r>
    </w:p>
    <w:p w14:paraId="3802C05F" w14:textId="77777777" w:rsidR="003D558A" w:rsidRPr="006B5AD3" w:rsidRDefault="003D558A" w:rsidP="003D558A">
      <w:pPr>
        <w:ind w:left="284" w:hanging="284"/>
        <w:rPr>
          <w:lang w:val="en-US"/>
        </w:rPr>
      </w:pPr>
      <w:r w:rsidRPr="006B5AD3">
        <w:rPr>
          <w:lang w:val="en-US"/>
        </w:rPr>
        <w:t>–</w:t>
      </w:r>
      <w:r>
        <w:rPr>
          <w:lang w:val="en-US"/>
        </w:rPr>
        <w:tab/>
      </w:r>
      <w:r w:rsidRPr="006B5AD3">
        <w:rPr>
          <w:lang w:val="en-US"/>
        </w:rPr>
        <w:t>The digital disruption and its impact on the change processes</w:t>
      </w:r>
      <w:r>
        <w:rPr>
          <w:lang w:val="en-US"/>
        </w:rPr>
        <w:t>.</w:t>
      </w:r>
    </w:p>
    <w:p w14:paraId="5C9ABF1F" w14:textId="77777777" w:rsidR="003D558A" w:rsidRPr="006B5AD3" w:rsidRDefault="003D558A" w:rsidP="003D558A">
      <w:pPr>
        <w:ind w:left="284" w:hanging="284"/>
        <w:rPr>
          <w:lang w:val="en-US"/>
        </w:rPr>
      </w:pPr>
      <w:r w:rsidRPr="006B5AD3">
        <w:rPr>
          <w:lang w:val="en-US"/>
        </w:rPr>
        <w:t>–</w:t>
      </w:r>
      <w:r w:rsidRPr="006B5AD3">
        <w:rPr>
          <w:lang w:val="en-US"/>
        </w:rPr>
        <w:tab/>
        <w:t>The main drivers for the future changes.</w:t>
      </w:r>
    </w:p>
    <w:p w14:paraId="37A2F476" w14:textId="77777777" w:rsidR="003D558A" w:rsidRDefault="003D558A" w:rsidP="003D558A">
      <w:pPr>
        <w:rPr>
          <w:lang w:val="en-US"/>
        </w:rPr>
      </w:pPr>
      <w:r w:rsidRPr="006B5AD3">
        <w:rPr>
          <w:lang w:val="en-US"/>
        </w:rPr>
        <w:t>–</w:t>
      </w:r>
      <w:r w:rsidRPr="006B5AD3">
        <w:rPr>
          <w:lang w:val="en-US"/>
        </w:rPr>
        <w:tab/>
        <w:t>Innovation and trends for the future.</w:t>
      </w:r>
    </w:p>
    <w:p w14:paraId="01891170" w14:textId="77777777" w:rsidR="003D558A" w:rsidRPr="006B5AD3" w:rsidRDefault="003D558A" w:rsidP="003D558A">
      <w:pPr>
        <w:spacing w:before="120"/>
        <w:rPr>
          <w:lang w:val="en-US"/>
        </w:rPr>
      </w:pPr>
      <w:r>
        <w:rPr>
          <w:lang w:val="en-US"/>
        </w:rPr>
        <w:t>Knowledge Area #</w:t>
      </w:r>
      <w:r w:rsidRPr="006B5AD3">
        <w:rPr>
          <w:lang w:val="en-US"/>
        </w:rPr>
        <w:t xml:space="preserve">2 (second module): </w:t>
      </w:r>
      <w:r w:rsidRPr="00D43A6F">
        <w:rPr>
          <w:i/>
          <w:lang w:val="en-US"/>
        </w:rPr>
        <w:t>Leading people to change</w:t>
      </w:r>
      <w:r w:rsidRPr="006B5AD3">
        <w:rPr>
          <w:lang w:val="en-US"/>
        </w:rPr>
        <w:t xml:space="preserve"> (Prof. Francisco J. Lara)</w:t>
      </w:r>
    </w:p>
    <w:p w14:paraId="026E9C81" w14:textId="77777777" w:rsidR="003D558A" w:rsidRPr="006B5AD3" w:rsidRDefault="003D558A" w:rsidP="003D558A">
      <w:pPr>
        <w:rPr>
          <w:lang w:val="en-US"/>
        </w:rPr>
      </w:pPr>
      <w:r w:rsidRPr="006B5AD3">
        <w:rPr>
          <w:lang w:val="en-US"/>
        </w:rPr>
        <w:t>–</w:t>
      </w:r>
      <w:r w:rsidRPr="006B5AD3">
        <w:rPr>
          <w:lang w:val="en-US"/>
        </w:rPr>
        <w:tab/>
        <w:t>Social identity of the organizational system: how to investigate it.</w:t>
      </w:r>
    </w:p>
    <w:p w14:paraId="6876B7C9" w14:textId="77777777" w:rsidR="003D558A" w:rsidRPr="006B5AD3" w:rsidRDefault="003D558A" w:rsidP="003D558A">
      <w:pPr>
        <w:rPr>
          <w:lang w:val="en-US"/>
        </w:rPr>
      </w:pPr>
      <w:r w:rsidRPr="006B5AD3">
        <w:rPr>
          <w:lang w:val="en-US"/>
        </w:rPr>
        <w:t>–</w:t>
      </w:r>
      <w:r w:rsidRPr="006B5AD3">
        <w:rPr>
          <w:lang w:val="en-US"/>
        </w:rPr>
        <w:tab/>
        <w:t>Individual dimensions of the change process.</w:t>
      </w:r>
    </w:p>
    <w:p w14:paraId="2D7584D4" w14:textId="77777777" w:rsidR="003D558A" w:rsidRPr="006B5AD3" w:rsidRDefault="003D558A" w:rsidP="003D558A">
      <w:pPr>
        <w:rPr>
          <w:lang w:val="en-US"/>
        </w:rPr>
      </w:pPr>
      <w:r w:rsidRPr="006B5AD3">
        <w:rPr>
          <w:lang w:val="en-US"/>
        </w:rPr>
        <w:t>–</w:t>
      </w:r>
      <w:r w:rsidRPr="006B5AD3">
        <w:rPr>
          <w:lang w:val="en-US"/>
        </w:rPr>
        <w:tab/>
        <w:t>Individual reactions to the change process.</w:t>
      </w:r>
    </w:p>
    <w:p w14:paraId="10758C57" w14:textId="77777777" w:rsidR="003D558A" w:rsidRPr="006B5AD3" w:rsidRDefault="003D558A" w:rsidP="003D558A">
      <w:pPr>
        <w:rPr>
          <w:lang w:val="en-US"/>
        </w:rPr>
      </w:pPr>
      <w:r w:rsidRPr="006B5AD3">
        <w:rPr>
          <w:lang w:val="en-US"/>
        </w:rPr>
        <w:t>–</w:t>
      </w:r>
      <w:r w:rsidRPr="006B5AD3">
        <w:rPr>
          <w:lang w:val="en-US"/>
        </w:rPr>
        <w:tab/>
        <w:t>Group dynamics in changing.</w:t>
      </w:r>
    </w:p>
    <w:p w14:paraId="0895987C" w14:textId="77777777" w:rsidR="003D558A" w:rsidRPr="006B5AD3" w:rsidRDefault="003D558A" w:rsidP="003D558A">
      <w:pPr>
        <w:rPr>
          <w:lang w:val="en-US"/>
        </w:rPr>
      </w:pPr>
      <w:r w:rsidRPr="006B5AD3">
        <w:rPr>
          <w:lang w:val="en-US"/>
        </w:rPr>
        <w:t>–</w:t>
      </w:r>
      <w:r w:rsidRPr="006B5AD3">
        <w:rPr>
          <w:lang w:val="en-US"/>
        </w:rPr>
        <w:tab/>
        <w:t>The leadership of the change and the managers involved.</w:t>
      </w:r>
    </w:p>
    <w:p w14:paraId="6E078D55" w14:textId="77777777" w:rsidR="003D558A" w:rsidRPr="006B5AD3" w:rsidRDefault="003D558A" w:rsidP="003D558A">
      <w:pPr>
        <w:rPr>
          <w:lang w:val="en-US"/>
        </w:rPr>
      </w:pPr>
      <w:r w:rsidRPr="006B5AD3">
        <w:rPr>
          <w:lang w:val="en-US"/>
        </w:rPr>
        <w:t>–</w:t>
      </w:r>
      <w:r w:rsidRPr="006B5AD3">
        <w:rPr>
          <w:lang w:val="en-US"/>
        </w:rPr>
        <w:tab/>
        <w:t>Learning process, change, monitoring.</w:t>
      </w:r>
    </w:p>
    <w:p w14:paraId="32C5F03D" w14:textId="343FA5EA" w:rsidR="003D558A" w:rsidRPr="00514034" w:rsidRDefault="003D558A" w:rsidP="003D558A">
      <w:pPr>
        <w:spacing w:before="240" w:after="120"/>
        <w:rPr>
          <w:b/>
          <w:i/>
          <w:sz w:val="18"/>
          <w:lang w:val="en-US"/>
        </w:rPr>
      </w:pPr>
      <w:r w:rsidRPr="00514034">
        <w:rPr>
          <w:b/>
          <w:i/>
          <w:sz w:val="18"/>
          <w:lang w:val="en-US"/>
        </w:rPr>
        <w:t>READING LIST</w:t>
      </w:r>
      <w:r w:rsidR="00B05A67">
        <w:rPr>
          <w:rStyle w:val="Rimandonotaapidipagina"/>
          <w:b/>
          <w:i/>
          <w:sz w:val="18"/>
          <w:lang w:val="en-US"/>
        </w:rPr>
        <w:footnoteReference w:id="1"/>
      </w:r>
    </w:p>
    <w:p w14:paraId="6E9E1F76" w14:textId="77777777" w:rsidR="003D558A" w:rsidRPr="00BD76CB" w:rsidRDefault="003D558A" w:rsidP="003D558A">
      <w:pPr>
        <w:pStyle w:val="Testo1"/>
        <w:spacing w:before="0"/>
        <w:rPr>
          <w:rFonts w:eastAsia="Times"/>
          <w:lang w:val="en-US"/>
        </w:rPr>
      </w:pPr>
      <w:r w:rsidRPr="00BD76CB">
        <w:rPr>
          <w:rFonts w:eastAsia="Times"/>
          <w:lang w:val="en-US"/>
        </w:rPr>
        <w:t>For both attending and non-attending students:</w:t>
      </w:r>
    </w:p>
    <w:p w14:paraId="4329E0C3" w14:textId="178F5EA0" w:rsidR="003D558A" w:rsidRPr="003D558A" w:rsidRDefault="003D558A" w:rsidP="003D558A">
      <w:pPr>
        <w:pStyle w:val="Testo1"/>
        <w:spacing w:before="0"/>
        <w:rPr>
          <w:rFonts w:eastAsia="Times"/>
          <w:lang w:val="en-US"/>
        </w:rPr>
      </w:pPr>
      <w:r w:rsidRPr="003D558A">
        <w:rPr>
          <w:rFonts w:eastAsia="Times"/>
          <w:smallCaps/>
          <w:sz w:val="16"/>
          <w:lang w:val="en-US"/>
        </w:rPr>
        <w:t>G. Manara</w:t>
      </w:r>
      <w:r w:rsidRPr="003D558A">
        <w:rPr>
          <w:rFonts w:eastAsia="Times"/>
          <w:lang w:val="en-US"/>
        </w:rPr>
        <w:t xml:space="preserve"> (by), </w:t>
      </w:r>
      <w:r w:rsidRPr="003D558A">
        <w:rPr>
          <w:rFonts w:eastAsia="Times"/>
          <w:i/>
          <w:lang w:val="en-US"/>
        </w:rPr>
        <w:t>Change Management</w:t>
      </w:r>
      <w:r w:rsidRPr="003D558A">
        <w:rPr>
          <w:rFonts w:eastAsia="Times"/>
          <w:lang w:val="en-US"/>
        </w:rPr>
        <w:t>, Pearson Textbuilder, 2019.</w:t>
      </w:r>
      <w:r w:rsidR="00B05A67">
        <w:rPr>
          <w:rFonts w:eastAsia="Times"/>
          <w:lang w:val="en-US"/>
        </w:rPr>
        <w:t xml:space="preserve"> </w:t>
      </w:r>
      <w:hyperlink r:id="rId9" w:history="1">
        <w:r w:rsidR="00B05A67" w:rsidRPr="00B05A67">
          <w:rPr>
            <w:rStyle w:val="Collegamentoipertestuale"/>
            <w:rFonts w:ascii="Times New Roman" w:hAnsi="Times New Roman"/>
            <w:i/>
            <w:sz w:val="16"/>
            <w:szCs w:val="16"/>
          </w:rPr>
          <w:t>Acquista da VP</w:t>
        </w:r>
      </w:hyperlink>
      <w:bookmarkStart w:id="0" w:name="_GoBack"/>
      <w:bookmarkEnd w:id="0"/>
    </w:p>
    <w:p w14:paraId="38A06C16" w14:textId="77777777" w:rsidR="003D558A" w:rsidRPr="00BD76CB" w:rsidRDefault="003D558A" w:rsidP="003D558A">
      <w:pPr>
        <w:pStyle w:val="Testo1"/>
        <w:spacing w:before="0"/>
        <w:rPr>
          <w:rFonts w:eastAsia="Times"/>
          <w:lang w:val="en-US"/>
        </w:rPr>
      </w:pPr>
      <w:r w:rsidRPr="00BD76CB">
        <w:rPr>
          <w:rFonts w:eastAsia="Times"/>
          <w:smallCaps/>
          <w:sz w:val="16"/>
          <w:lang w:val="en-US"/>
        </w:rPr>
        <w:t>F.J. Lara</w:t>
      </w:r>
      <w:r w:rsidRPr="00BD76CB">
        <w:rPr>
          <w:rFonts w:eastAsia="Times"/>
          <w:lang w:val="en-US"/>
        </w:rPr>
        <w:t xml:space="preserve">, </w:t>
      </w:r>
      <w:r w:rsidRPr="00BD76CB">
        <w:rPr>
          <w:rFonts w:eastAsia="Times"/>
          <w:i/>
          <w:lang w:val="en-US"/>
        </w:rPr>
        <w:t>Basic Approaches to Leadership</w:t>
      </w:r>
      <w:r w:rsidRPr="00BD76CB">
        <w:rPr>
          <w:rFonts w:eastAsia="Times"/>
          <w:lang w:val="en-US"/>
        </w:rPr>
        <w:t>, Palgrave McMillan, 2014.</w:t>
      </w:r>
    </w:p>
    <w:p w14:paraId="7D5F5A43" w14:textId="77777777" w:rsidR="003D558A" w:rsidRPr="00BD76CB" w:rsidRDefault="003D558A" w:rsidP="003D558A">
      <w:pPr>
        <w:pStyle w:val="Testo1"/>
        <w:spacing w:before="0"/>
        <w:rPr>
          <w:rFonts w:eastAsia="Times"/>
          <w:lang w:val="en-US"/>
        </w:rPr>
      </w:pPr>
      <w:r w:rsidRPr="00BD76CB">
        <w:rPr>
          <w:rFonts w:eastAsia="Times"/>
          <w:lang w:val="en-US"/>
        </w:rPr>
        <w:t>Readings and other course materials available electronically via Blackboard online system.</w:t>
      </w:r>
    </w:p>
    <w:p w14:paraId="4E16A71D" w14:textId="77777777" w:rsidR="003D558A" w:rsidRPr="00514034" w:rsidRDefault="003D558A" w:rsidP="003D558A">
      <w:pPr>
        <w:spacing w:before="240" w:after="120" w:line="220" w:lineRule="exact"/>
        <w:rPr>
          <w:b/>
          <w:i/>
          <w:sz w:val="18"/>
          <w:lang w:val="en-US"/>
        </w:rPr>
      </w:pPr>
      <w:r w:rsidRPr="00514034">
        <w:rPr>
          <w:b/>
          <w:i/>
          <w:sz w:val="18"/>
          <w:lang w:val="en-US"/>
        </w:rPr>
        <w:t>TEACHING METHOD</w:t>
      </w:r>
    </w:p>
    <w:p w14:paraId="5615D73B" w14:textId="77777777" w:rsidR="003D558A" w:rsidRPr="00EE6C39" w:rsidRDefault="003D558A" w:rsidP="003D558A">
      <w:pPr>
        <w:pStyle w:val="Testo2"/>
        <w:rPr>
          <w:rFonts w:eastAsia="Times"/>
          <w:lang w:val="en-US"/>
        </w:rPr>
      </w:pPr>
      <w:r w:rsidRPr="00EE6C39">
        <w:rPr>
          <w:rFonts w:eastAsia="Times"/>
          <w:lang w:val="en-US"/>
        </w:rPr>
        <w:t xml:space="preserve">Throughout the course a variety of teaching methods is used to encourage active learning. We combine formal and interactive teaching with projects, audiovisuals, role-plays, simulations, case histories, managers and entrepreneurs’ speeches. </w:t>
      </w:r>
      <w:r w:rsidRPr="00EE6C39">
        <w:rPr>
          <w:rFonts w:eastAsia="Times"/>
          <w:i/>
          <w:lang w:val="en-US"/>
        </w:rPr>
        <w:t>Blackboard</w:t>
      </w:r>
      <w:r w:rsidRPr="00EE6C39">
        <w:rPr>
          <w:rFonts w:eastAsia="Times"/>
          <w:lang w:val="en-US"/>
        </w:rPr>
        <w:t xml:space="preserve"> online system will be intensively used for uploading the materials as well as for interacting with students.</w:t>
      </w:r>
      <w:r>
        <w:rPr>
          <w:rFonts w:eastAsia="Times"/>
          <w:lang w:val="en-US"/>
        </w:rPr>
        <w:t xml:space="preserve"> </w:t>
      </w:r>
      <w:r w:rsidRPr="00EE6C39">
        <w:rPr>
          <w:rFonts w:eastAsia="Times"/>
          <w:lang w:val="en-US"/>
        </w:rPr>
        <w:t>Specific coursework assignments are requested to attendees. Coursework assignments may include writing essays and reports, as well as presentations of group projects.</w:t>
      </w:r>
    </w:p>
    <w:p w14:paraId="1EEEC827" w14:textId="77777777" w:rsidR="003D558A" w:rsidRPr="00906645" w:rsidRDefault="003D558A" w:rsidP="003D558A">
      <w:pPr>
        <w:spacing w:before="240" w:after="120" w:line="220" w:lineRule="exact"/>
        <w:rPr>
          <w:b/>
          <w:i/>
          <w:sz w:val="18"/>
          <w:lang w:val="en-US"/>
        </w:rPr>
      </w:pPr>
      <w:r w:rsidRPr="00906645">
        <w:rPr>
          <w:b/>
          <w:i/>
          <w:sz w:val="18"/>
          <w:lang w:val="en-US"/>
        </w:rPr>
        <w:t>ASSESSMENT METHOD AND CRITERIA</w:t>
      </w:r>
    </w:p>
    <w:p w14:paraId="49815237" w14:textId="77777777" w:rsidR="003D558A" w:rsidRPr="00BD76CB" w:rsidRDefault="003D558A" w:rsidP="003D558A">
      <w:pPr>
        <w:pStyle w:val="Testo2"/>
        <w:rPr>
          <w:rFonts w:eastAsia="Times"/>
          <w:lang w:val="en-US"/>
        </w:rPr>
      </w:pPr>
      <w:r w:rsidRPr="00BD76CB">
        <w:rPr>
          <w:rFonts w:eastAsia="Times"/>
          <w:lang w:val="en-US"/>
        </w:rPr>
        <w:t xml:space="preserve">For </w:t>
      </w:r>
      <w:r w:rsidRPr="00BD76CB">
        <w:rPr>
          <w:rFonts w:eastAsia="Times"/>
          <w:i/>
          <w:lang w:val="en-US"/>
        </w:rPr>
        <w:t>attending students</w:t>
      </w:r>
      <w:r w:rsidRPr="00BD76CB">
        <w:rPr>
          <w:rFonts w:eastAsia="Times"/>
          <w:lang w:val="en-US"/>
        </w:rPr>
        <w:t>, assessment is divided into the 2 knowledge areas:</w:t>
      </w:r>
    </w:p>
    <w:p w14:paraId="013BDDDA" w14:textId="77777777" w:rsidR="003D558A" w:rsidRPr="00BD76CB" w:rsidRDefault="003D558A" w:rsidP="003D558A">
      <w:pPr>
        <w:pStyle w:val="Testo2"/>
        <w:rPr>
          <w:rFonts w:eastAsia="Times"/>
          <w:lang w:val="en-US"/>
        </w:rPr>
      </w:pPr>
      <w:r w:rsidRPr="00BD76CB">
        <w:rPr>
          <w:rFonts w:eastAsia="Times"/>
          <w:i/>
          <w:lang w:val="en-US"/>
        </w:rPr>
        <w:lastRenderedPageBreak/>
        <w:t>The area #1</w:t>
      </w:r>
      <w:r w:rsidRPr="00BD76CB">
        <w:rPr>
          <w:rFonts w:eastAsia="Times"/>
          <w:lang w:val="en-US"/>
        </w:rPr>
        <w:t xml:space="preserve"> counts for the 60% of the total score, and is based on a combination of individual written examination (multiple choice questions and open questions), as well as group coursework assignments and project work delivery and presentation in class;</w:t>
      </w:r>
    </w:p>
    <w:p w14:paraId="70BAADD0" w14:textId="77777777" w:rsidR="003D558A" w:rsidRPr="00BD76CB" w:rsidRDefault="003D558A" w:rsidP="003D558A">
      <w:pPr>
        <w:pStyle w:val="Testo2"/>
        <w:rPr>
          <w:rFonts w:eastAsia="Times"/>
          <w:lang w:val="en-US"/>
        </w:rPr>
      </w:pPr>
      <w:r w:rsidRPr="00BD76CB">
        <w:rPr>
          <w:rFonts w:eastAsia="Times"/>
          <w:i/>
          <w:lang w:val="en-US"/>
        </w:rPr>
        <w:t>The area #2 counts</w:t>
      </w:r>
      <w:r w:rsidRPr="00BD76CB">
        <w:rPr>
          <w:rFonts w:eastAsia="Times"/>
          <w:lang w:val="en-US"/>
        </w:rPr>
        <w:t xml:space="preserve"> for 40% of the total score, and the evaluation will be by assistance to class (10%), case study method in each class (50%) and a final business case presentation by groups (40%). The sum of all this parts will count for the 40% of the total score.</w:t>
      </w:r>
    </w:p>
    <w:p w14:paraId="44AAF88D" w14:textId="12A4AABB" w:rsidR="003D558A" w:rsidRDefault="003D558A" w:rsidP="003D558A">
      <w:pPr>
        <w:pStyle w:val="Testo2"/>
        <w:rPr>
          <w:rFonts w:eastAsia="Times"/>
          <w:lang w:val="en-US"/>
        </w:rPr>
      </w:pPr>
      <w:r w:rsidRPr="00BD76CB">
        <w:rPr>
          <w:rFonts w:eastAsia="Times"/>
          <w:lang w:val="en-US"/>
        </w:rPr>
        <w:t xml:space="preserve">For </w:t>
      </w:r>
      <w:r w:rsidRPr="00BD76CB">
        <w:rPr>
          <w:rFonts w:eastAsia="Times"/>
          <w:i/>
          <w:lang w:val="en-US"/>
        </w:rPr>
        <w:t>non-attending students</w:t>
      </w:r>
      <w:r w:rsidRPr="00BD76CB">
        <w:rPr>
          <w:rFonts w:eastAsia="Times"/>
          <w:lang w:val="en-US"/>
        </w:rPr>
        <w:t xml:space="preserve"> the final exam is composed of an individual written test or an oral exam; both of them are based on open questions on the program, and the written tests can include some multiple choice questions. The non-attending students must study the textbook and the case studies posted in Blackboard.</w:t>
      </w:r>
    </w:p>
    <w:p w14:paraId="52368453" w14:textId="77777777" w:rsidR="00E249BA" w:rsidRPr="00BD76CB" w:rsidRDefault="00E249BA" w:rsidP="003D558A">
      <w:pPr>
        <w:pStyle w:val="Testo2"/>
        <w:rPr>
          <w:rFonts w:eastAsia="Times"/>
          <w:lang w:val="en-US"/>
        </w:rPr>
      </w:pPr>
    </w:p>
    <w:p w14:paraId="6E0E257E" w14:textId="77777777" w:rsidR="003D558A" w:rsidRPr="007E7B14" w:rsidRDefault="003D558A" w:rsidP="003D558A">
      <w:pPr>
        <w:pStyle w:val="Testo2"/>
        <w:rPr>
          <w:lang w:val="en-US"/>
        </w:rPr>
      </w:pPr>
      <w:r w:rsidRPr="007E7B14">
        <w:rPr>
          <w:lang w:val="en-US"/>
        </w:rPr>
        <w:t xml:space="preserve">The </w:t>
      </w:r>
      <w:r w:rsidRPr="007E7B14">
        <w:rPr>
          <w:i/>
          <w:lang w:val="en-US"/>
        </w:rPr>
        <w:t>evaluation criteria</w:t>
      </w:r>
      <w:r w:rsidRPr="007E7B14">
        <w:rPr>
          <w:lang w:val="en-US"/>
        </w:rPr>
        <w:t xml:space="preserve"> mainly used will be the following:</w:t>
      </w:r>
    </w:p>
    <w:p w14:paraId="418E3D19" w14:textId="77777777" w:rsidR="00E249BA" w:rsidRDefault="00E249BA" w:rsidP="00E249BA">
      <w:pPr>
        <w:pStyle w:val="Testo2"/>
        <w:numPr>
          <w:ilvl w:val="0"/>
          <w:numId w:val="4"/>
        </w:numPr>
        <w:rPr>
          <w:lang w:val="en-US"/>
        </w:rPr>
      </w:pPr>
      <w:r w:rsidRPr="00D373DE">
        <w:rPr>
          <w:lang w:val="en-US"/>
        </w:rPr>
        <w:t>in-depth knowledge and understanding of the systems and models analyzed during the course; originality, appropriateness and depth of the solutions offered in response to practical business cases;</w:t>
      </w:r>
    </w:p>
    <w:p w14:paraId="08CAB70F" w14:textId="77777777" w:rsidR="00E249BA" w:rsidRDefault="00E249BA" w:rsidP="00E249BA">
      <w:pPr>
        <w:pStyle w:val="Testo2"/>
        <w:numPr>
          <w:ilvl w:val="0"/>
          <w:numId w:val="4"/>
        </w:numPr>
        <w:rPr>
          <w:lang w:val="en-US"/>
        </w:rPr>
      </w:pPr>
      <w:r w:rsidRPr="00D373DE">
        <w:rPr>
          <w:lang w:val="en-US"/>
        </w:rPr>
        <w:t xml:space="preserve">awareness of the business and environmental characteristics that influence the issues in question; rigor in framing problems, focusing, and arguing original and actionable solutions in the organizational context; </w:t>
      </w:r>
    </w:p>
    <w:p w14:paraId="63DD7F28" w14:textId="77777777" w:rsidR="00E249BA" w:rsidRDefault="00E249BA" w:rsidP="00E249BA">
      <w:pPr>
        <w:pStyle w:val="Testo2"/>
        <w:numPr>
          <w:ilvl w:val="0"/>
          <w:numId w:val="4"/>
        </w:numPr>
        <w:rPr>
          <w:lang w:val="en-US"/>
        </w:rPr>
      </w:pPr>
      <w:r w:rsidRPr="00D373DE">
        <w:rPr>
          <w:lang w:val="en-US"/>
        </w:rPr>
        <w:t xml:space="preserve">appropriateness and correctness in the choice and implementation of qualitative and quantitative models aimed at effectively support decision-making; </w:t>
      </w:r>
    </w:p>
    <w:p w14:paraId="43641106" w14:textId="77777777" w:rsidR="00E249BA" w:rsidRDefault="00E249BA" w:rsidP="00E249BA">
      <w:pPr>
        <w:pStyle w:val="Testo2"/>
        <w:numPr>
          <w:ilvl w:val="0"/>
          <w:numId w:val="4"/>
        </w:numPr>
        <w:rPr>
          <w:lang w:val="en-US"/>
        </w:rPr>
      </w:pPr>
      <w:r w:rsidRPr="00D373DE">
        <w:rPr>
          <w:lang w:val="en-US"/>
        </w:rPr>
        <w:t xml:space="preserve">autonomy and rigor in interpreting and selecting the relevant information for problem solving, as well as in identifying (and addressing) possible information gaps; </w:t>
      </w:r>
    </w:p>
    <w:p w14:paraId="70EDF7CE" w14:textId="77777777" w:rsidR="00E249BA" w:rsidRPr="00D72E08" w:rsidRDefault="00E249BA" w:rsidP="00E249BA">
      <w:pPr>
        <w:pStyle w:val="Testo2"/>
        <w:numPr>
          <w:ilvl w:val="0"/>
          <w:numId w:val="4"/>
        </w:numPr>
        <w:rPr>
          <w:lang w:val="en-US"/>
        </w:rPr>
      </w:pPr>
      <w:r w:rsidRPr="00D373DE">
        <w:rPr>
          <w:lang w:val="en-US"/>
        </w:rPr>
        <w:t>critical approach to the subject, arguing the advantages/disadvantages of the tools and techniques analyzed throughout the course from a conceptual and practical perspective; clarity, completeness, consistency and linguistic mastery in communication.</w:t>
      </w:r>
    </w:p>
    <w:p w14:paraId="6C0C4388" w14:textId="32947C97" w:rsidR="007E7B14" w:rsidRPr="00514034" w:rsidRDefault="007E7B14" w:rsidP="00C5128E">
      <w:pPr>
        <w:pStyle w:val="Testo2"/>
        <w:spacing w:before="240" w:after="120"/>
        <w:rPr>
          <w:b/>
          <w:i/>
          <w:lang w:val="en-US"/>
        </w:rPr>
      </w:pPr>
      <w:r w:rsidRPr="00514034">
        <w:rPr>
          <w:b/>
          <w:i/>
          <w:lang w:val="en-US"/>
        </w:rPr>
        <w:t>NOTES AND PREREQUISITES</w:t>
      </w:r>
    </w:p>
    <w:p w14:paraId="2D87A5CE" w14:textId="65CE5D86" w:rsidR="007E7B14" w:rsidRDefault="007E7B14" w:rsidP="007E7B14">
      <w:pPr>
        <w:pStyle w:val="Testo2"/>
        <w:rPr>
          <w:lang w:val="en-US"/>
        </w:rPr>
      </w:pPr>
      <w:r w:rsidRPr="00B72F65">
        <w:rPr>
          <w:lang w:val="en-US"/>
        </w:rPr>
        <w:t>A basic knowledge of management and company organization is required. Students, who may not have such preliminary knowledge, will have to acquire them through an individual study activity, so that they can effectively follow the course.</w:t>
      </w:r>
    </w:p>
    <w:p w14:paraId="5513D41B" w14:textId="77777777" w:rsidR="005536AA" w:rsidRPr="00A11DCE" w:rsidRDefault="005536AA" w:rsidP="005536AA">
      <w:pPr>
        <w:spacing w:before="120"/>
        <w:ind w:firstLine="284"/>
        <w:rPr>
          <w:i/>
          <w:iCs/>
          <w:sz w:val="18"/>
          <w:szCs w:val="18"/>
          <w:lang w:val="en-US"/>
        </w:rPr>
      </w:pPr>
      <w:r w:rsidRPr="00A11DCE">
        <w:rPr>
          <w:i/>
          <w:iCs/>
          <w:sz w:val="18"/>
          <w:szCs w:val="18"/>
          <w:shd w:val="clear" w:color="auto" w:fill="FFFFFF"/>
          <w:lang w:val="en-US"/>
        </w:rPr>
        <w:t>In case the current Covid-19 health emergency does not allow frontal teaching, remote teaching will be carried out following procedures that will be promptly notified to students.</w:t>
      </w:r>
    </w:p>
    <w:p w14:paraId="38E6BD10" w14:textId="77777777" w:rsidR="005536AA" w:rsidRPr="00B72F65" w:rsidRDefault="005536AA" w:rsidP="007E7B14">
      <w:pPr>
        <w:pStyle w:val="Testo2"/>
        <w:rPr>
          <w:lang w:val="en-US"/>
        </w:rPr>
      </w:pPr>
    </w:p>
    <w:sectPr w:rsidR="005536AA" w:rsidRPr="00B72F6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2E09C" w14:textId="77777777" w:rsidR="00B05A67" w:rsidRDefault="00B05A67" w:rsidP="00B05A67">
      <w:pPr>
        <w:spacing w:line="240" w:lineRule="auto"/>
      </w:pPr>
      <w:r>
        <w:separator/>
      </w:r>
    </w:p>
  </w:endnote>
  <w:endnote w:type="continuationSeparator" w:id="0">
    <w:p w14:paraId="4C6D6C53" w14:textId="77777777" w:rsidR="00B05A67" w:rsidRDefault="00B05A67" w:rsidP="00B05A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22BDF" w14:textId="77777777" w:rsidR="00B05A67" w:rsidRDefault="00B05A67" w:rsidP="00B05A67">
      <w:pPr>
        <w:spacing w:line="240" w:lineRule="auto"/>
      </w:pPr>
      <w:r>
        <w:separator/>
      </w:r>
    </w:p>
  </w:footnote>
  <w:footnote w:type="continuationSeparator" w:id="0">
    <w:p w14:paraId="4E4FED20" w14:textId="77777777" w:rsidR="00B05A67" w:rsidRDefault="00B05A67" w:rsidP="00B05A67">
      <w:pPr>
        <w:spacing w:line="240" w:lineRule="auto"/>
      </w:pPr>
      <w:r>
        <w:continuationSeparator/>
      </w:r>
    </w:p>
  </w:footnote>
  <w:footnote w:id="1">
    <w:p w14:paraId="08CCC06D" w14:textId="36AF64A0" w:rsidR="00B05A67" w:rsidRDefault="00B05A6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CBD"/>
    <w:multiLevelType w:val="hybridMultilevel"/>
    <w:tmpl w:val="BCA6CB1A"/>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1DF45F4E"/>
    <w:multiLevelType w:val="hybridMultilevel"/>
    <w:tmpl w:val="083C5A3A"/>
    <w:lvl w:ilvl="0" w:tplc="573895F4">
      <w:start w:val="1"/>
      <w:numFmt w:val="bullet"/>
      <w:lvlText w:val=""/>
      <w:lvlJc w:val="right"/>
      <w:pPr>
        <w:ind w:left="1800" w:hanging="360"/>
      </w:pPr>
      <w:rPr>
        <w:rFonts w:ascii="Symbol" w:hAnsi="Symbol" w:hint="default"/>
        <w:spacing w:val="-20"/>
        <w:position w:val="0"/>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nsid w:val="78AC1F7F"/>
    <w:multiLevelType w:val="hybridMultilevel"/>
    <w:tmpl w:val="1D8AABBC"/>
    <w:lvl w:ilvl="0" w:tplc="573895F4">
      <w:start w:val="1"/>
      <w:numFmt w:val="bullet"/>
      <w:lvlText w:val=""/>
      <w:lvlJc w:val="right"/>
      <w:pPr>
        <w:ind w:left="720" w:hanging="360"/>
      </w:pPr>
      <w:rPr>
        <w:rFonts w:ascii="Symbol" w:hAnsi="Symbol" w:hint="default"/>
        <w:spacing w:val="-20"/>
        <w:positio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D3E7DFE"/>
    <w:multiLevelType w:val="hybridMultilevel"/>
    <w:tmpl w:val="9664ECD2"/>
    <w:lvl w:ilvl="0" w:tplc="9B7672F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8B"/>
    <w:rsid w:val="00187B99"/>
    <w:rsid w:val="002014DD"/>
    <w:rsid w:val="002D5E17"/>
    <w:rsid w:val="00397FE2"/>
    <w:rsid w:val="003D558A"/>
    <w:rsid w:val="004D1217"/>
    <w:rsid w:val="004D6008"/>
    <w:rsid w:val="005536AA"/>
    <w:rsid w:val="00640794"/>
    <w:rsid w:val="006F1772"/>
    <w:rsid w:val="007E7B14"/>
    <w:rsid w:val="008942E7"/>
    <w:rsid w:val="008A1204"/>
    <w:rsid w:val="00900CCA"/>
    <w:rsid w:val="00924B77"/>
    <w:rsid w:val="00940DA2"/>
    <w:rsid w:val="0097288B"/>
    <w:rsid w:val="009E055C"/>
    <w:rsid w:val="00A11DCE"/>
    <w:rsid w:val="00A74F6F"/>
    <w:rsid w:val="00AD7557"/>
    <w:rsid w:val="00B05A67"/>
    <w:rsid w:val="00B50C5D"/>
    <w:rsid w:val="00B51253"/>
    <w:rsid w:val="00B525CC"/>
    <w:rsid w:val="00BD76CB"/>
    <w:rsid w:val="00C5128E"/>
    <w:rsid w:val="00D404F2"/>
    <w:rsid w:val="00E249BA"/>
    <w:rsid w:val="00E607E6"/>
    <w:rsid w:val="00FF79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9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D558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D558A"/>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B05A67"/>
    <w:pPr>
      <w:spacing w:line="240" w:lineRule="auto"/>
    </w:pPr>
    <w:rPr>
      <w:szCs w:val="20"/>
    </w:rPr>
  </w:style>
  <w:style w:type="character" w:customStyle="1" w:styleId="TestonotaapidipaginaCarattere">
    <w:name w:val="Testo nota a piè di pagina Carattere"/>
    <w:basedOn w:val="Carpredefinitoparagrafo"/>
    <w:link w:val="Testonotaapidipagina"/>
    <w:rsid w:val="00B05A67"/>
  </w:style>
  <w:style w:type="character" w:styleId="Rimandonotaapidipagina">
    <w:name w:val="footnote reference"/>
    <w:basedOn w:val="Carpredefinitoparagrafo"/>
    <w:rsid w:val="00B05A67"/>
    <w:rPr>
      <w:vertAlign w:val="superscript"/>
    </w:rPr>
  </w:style>
  <w:style w:type="character" w:styleId="Collegamentoipertestuale">
    <w:name w:val="Hyperlink"/>
    <w:basedOn w:val="Carpredefinitoparagrafo"/>
    <w:rsid w:val="00B05A6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D558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D558A"/>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B05A67"/>
    <w:pPr>
      <w:spacing w:line="240" w:lineRule="auto"/>
    </w:pPr>
    <w:rPr>
      <w:szCs w:val="20"/>
    </w:rPr>
  </w:style>
  <w:style w:type="character" w:customStyle="1" w:styleId="TestonotaapidipaginaCarattere">
    <w:name w:val="Testo nota a piè di pagina Carattere"/>
    <w:basedOn w:val="Carpredefinitoparagrafo"/>
    <w:link w:val="Testonotaapidipagina"/>
    <w:rsid w:val="00B05A67"/>
  </w:style>
  <w:style w:type="character" w:styleId="Rimandonotaapidipagina">
    <w:name w:val="footnote reference"/>
    <w:basedOn w:val="Carpredefinitoparagrafo"/>
    <w:rsid w:val="00B05A67"/>
    <w:rPr>
      <w:vertAlign w:val="superscript"/>
    </w:rPr>
  </w:style>
  <w:style w:type="character" w:styleId="Collegamentoipertestuale">
    <w:name w:val="Hyperlink"/>
    <w:basedOn w:val="Carpredefinitoparagrafo"/>
    <w:rsid w:val="00B05A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23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manara-g-lara-f-j/change-management-9788891911094-55630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C4869-970A-42CD-A925-A4101DC3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924</Words>
  <Characters>5445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5</cp:revision>
  <cp:lastPrinted>2003-03-27T10:42:00Z</cp:lastPrinted>
  <dcterms:created xsi:type="dcterms:W3CDTF">2020-05-29T08:43:00Z</dcterms:created>
  <dcterms:modified xsi:type="dcterms:W3CDTF">2020-07-13T06:27:00Z</dcterms:modified>
</cp:coreProperties>
</file>