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22" w:rsidRDefault="008B6522" w:rsidP="008B6522">
      <w:pPr>
        <w:tabs>
          <w:tab w:val="clear" w:pos="284"/>
          <w:tab w:val="left" w:pos="708"/>
        </w:tabs>
        <w:spacing w:before="480" w:line="240" w:lineRule="auto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Archeologia e storia dell’arte classica (con laboratorio di catalogazione dei manufatti di età classica)</w:t>
      </w:r>
    </w:p>
    <w:p w:rsidR="008B6522" w:rsidRDefault="008B6522" w:rsidP="008B6522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Francesca Bonzano</w:t>
      </w:r>
    </w:p>
    <w:p w:rsidR="002D5E17" w:rsidRDefault="008B6522" w:rsidP="008B6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Il corso si divide in due moduli da 6 CFU, svolti sui due semestri; costituisce parte integrante dell’insegnamento il Laboratorio di catalogazione dei manufatti di età classica, tenuto dal Dott. Serena Massa nel primo semestre.</w:t>
      </w:r>
    </w:p>
    <w:p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Obiettivo del corso è quello di affinare il pensiero critico e consolidare l’approccio metodologico nello studio di situazioni e contesti propri dell’archeologia classica, su un arco cronologico e un ambito geografico ampi e differenziati.</w:t>
      </w:r>
    </w:p>
    <w:p w:rsidR="008B6522" w:rsidRDefault="008B6522" w:rsidP="008B6522">
      <w:pPr>
        <w:rPr>
          <w:rFonts w:eastAsia="Calibri"/>
          <w:color w:val="000000" w:themeColor="text1"/>
          <w:lang w:eastAsia="en-US"/>
        </w:rPr>
      </w:pPr>
      <w:r w:rsidRPr="00AC4A98">
        <w:rPr>
          <w:rFonts w:eastAsia="Calibri"/>
          <w:color w:val="000000" w:themeColor="text1"/>
          <w:lang w:eastAsia="en-US"/>
        </w:rPr>
        <w:t>I materiali utilizzati saranno di carattere prevalentemente storiografico, iconografico e metodologico.</w:t>
      </w:r>
      <w:r>
        <w:rPr>
          <w:rFonts w:eastAsia="Calibri"/>
          <w:color w:val="000000" w:themeColor="text1"/>
          <w:lang w:eastAsia="en-US"/>
        </w:rPr>
        <w:t xml:space="preserve"> </w:t>
      </w:r>
    </w:p>
    <w:p w:rsidR="008B6522" w:rsidRPr="00AC4A98" w:rsidRDefault="008B6522" w:rsidP="008B6522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Al termine del corso lo studente sarà in grado di affrontare l’analisi critica di un gruppo di reperti o di un edificio o di un sito, contestualizzando gli stessi all’interno di un percorso di lettura più ampio che metta in luce le dinamiche di sviluppo (economico, artistico, monumentale) dei singoli centri.</w:t>
      </w:r>
    </w:p>
    <w:p w:rsidR="008B6522" w:rsidRPr="00043667" w:rsidRDefault="008B6522" w:rsidP="008B6522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 xml:space="preserve">Il laboratorio </w:t>
      </w:r>
      <w:r>
        <w:rPr>
          <w:rFonts w:eastAsia="Calibri"/>
          <w:lang w:eastAsia="en-US"/>
        </w:rPr>
        <w:t xml:space="preserve">di catalogazione dei manufatti </w:t>
      </w:r>
      <w:r w:rsidRPr="00043667">
        <w:rPr>
          <w:rFonts w:eastAsia="Calibri"/>
          <w:lang w:eastAsia="en-US"/>
        </w:rPr>
        <w:t xml:space="preserve">si propone di fornire le nozioni metodologiche di base relative alle procedure di catalogazione dei reperti archeologici </w:t>
      </w:r>
      <w:r>
        <w:rPr>
          <w:rFonts w:eastAsia="Calibri"/>
          <w:lang w:eastAsia="en-US"/>
        </w:rPr>
        <w:t xml:space="preserve">e </w:t>
      </w:r>
      <w:r w:rsidRPr="00043667">
        <w:rPr>
          <w:rFonts w:eastAsia="Calibri"/>
          <w:lang w:eastAsia="en-US"/>
        </w:rPr>
        <w:t>riguard</w:t>
      </w:r>
      <w:r>
        <w:rPr>
          <w:rFonts w:eastAsia="Calibri"/>
          <w:lang w:eastAsia="en-US"/>
        </w:rPr>
        <w:t xml:space="preserve">anti nello specifico </w:t>
      </w:r>
      <w:r w:rsidRPr="00043667">
        <w:rPr>
          <w:rFonts w:eastAsia="Calibri"/>
          <w:lang w:eastAsia="en-US"/>
        </w:rPr>
        <w:t xml:space="preserve">le principali classi di manufatti ceramici </w:t>
      </w:r>
      <w:r>
        <w:rPr>
          <w:rFonts w:eastAsia="Calibri"/>
          <w:lang w:eastAsia="en-US"/>
        </w:rPr>
        <w:t xml:space="preserve">di età romana </w:t>
      </w:r>
      <w:r w:rsidRPr="00043667">
        <w:rPr>
          <w:rFonts w:eastAsia="Calibri"/>
          <w:lang w:eastAsia="en-US"/>
        </w:rPr>
        <w:t>in area Mediterranea.</w:t>
      </w:r>
    </w:p>
    <w:p w:rsidR="008B6522" w:rsidRDefault="008B6522" w:rsidP="008B6522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>Al termine del corso lo studente avrà acquisito le competenze metodologiche per il riconoscimento, la selezione</w:t>
      </w:r>
      <w:r>
        <w:rPr>
          <w:rFonts w:eastAsia="Calibri"/>
          <w:lang w:eastAsia="en-US"/>
        </w:rPr>
        <w:t xml:space="preserve"> e</w:t>
      </w:r>
      <w:r w:rsidRPr="00043667">
        <w:rPr>
          <w:rFonts w:eastAsia="Calibri"/>
          <w:lang w:eastAsia="en-US"/>
        </w:rPr>
        <w:t xml:space="preserve"> la classificazione preliminare di manufatti archeologici.</w:t>
      </w:r>
    </w:p>
    <w:p w:rsidR="008B6522" w:rsidRPr="00043667" w:rsidRDefault="008B6522" w:rsidP="008B6522">
      <w:pPr>
        <w:tabs>
          <w:tab w:val="clear" w:pos="284"/>
        </w:tabs>
        <w:spacing w:before="120"/>
        <w:rPr>
          <w:rFonts w:eastAsia="Calibri"/>
          <w:szCs w:val="20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 xml:space="preserve">I Modulo </w:t>
      </w:r>
      <w:r w:rsidRPr="00043667">
        <w:rPr>
          <w:rFonts w:eastAsia="Calibri"/>
          <w:smallCaps/>
          <w:szCs w:val="20"/>
          <w:lang w:eastAsia="en-US"/>
        </w:rPr>
        <w:t>(</w:t>
      </w:r>
      <w:r w:rsidR="00384D33">
        <w:rPr>
          <w:rFonts w:eastAsia="Calibri"/>
          <w:i/>
          <w:szCs w:val="20"/>
          <w:lang w:eastAsia="en-US"/>
        </w:rPr>
        <w:t>P</w:t>
      </w:r>
      <w:r w:rsidRPr="00043667">
        <w:rPr>
          <w:rFonts w:eastAsia="Calibri"/>
          <w:i/>
          <w:szCs w:val="20"/>
          <w:lang w:eastAsia="en-US"/>
        </w:rPr>
        <w:t>rof. Francesca Bonzano</w:t>
      </w:r>
      <w:r>
        <w:rPr>
          <w:rFonts w:eastAsia="Calibri"/>
          <w:szCs w:val="20"/>
          <w:lang w:eastAsia="en-US"/>
        </w:rPr>
        <w:t>)</w:t>
      </w:r>
      <w:r w:rsidRPr="00043667">
        <w:rPr>
          <w:rFonts w:eastAsia="Calibri"/>
          <w:szCs w:val="20"/>
          <w:lang w:eastAsia="en-US"/>
        </w:rPr>
        <w:t xml:space="preserve">: </w:t>
      </w:r>
    </w:p>
    <w:p w:rsidR="008B6522" w:rsidRPr="00A84EEA" w:rsidRDefault="008B6522" w:rsidP="008B652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043667">
        <w:rPr>
          <w:rFonts w:eastAsia="Calibri"/>
          <w:szCs w:val="22"/>
          <w:lang w:eastAsia="en-US"/>
        </w:rPr>
        <w:t xml:space="preserve">Seguendo le principali rotte di scambio del Mediterraneo in età greca e romana, si focalizzerà l’attenzione sui principali porti e relativi santuari noti, con una prospettiva diacronica dall’età arcaica alla piena età romana, secondo una progressione geografica da Oriente a Occidente. Saranno considerati casi esemplificativi di periodi e aree diverse, dalla Grecia (Delo, </w:t>
      </w:r>
      <w:proofErr w:type="spellStart"/>
      <w:r w:rsidRPr="00043667">
        <w:rPr>
          <w:rFonts w:eastAsia="Calibri"/>
          <w:szCs w:val="22"/>
          <w:lang w:eastAsia="en-US"/>
        </w:rPr>
        <w:t>Kos</w:t>
      </w:r>
      <w:proofErr w:type="spellEnd"/>
      <w:r w:rsidRPr="00043667">
        <w:rPr>
          <w:rFonts w:eastAsia="Calibri"/>
          <w:szCs w:val="22"/>
          <w:lang w:eastAsia="en-US"/>
        </w:rPr>
        <w:t>) a</w:t>
      </w:r>
      <w:r>
        <w:rPr>
          <w:rFonts w:eastAsia="Calibri"/>
          <w:szCs w:val="22"/>
          <w:lang w:eastAsia="en-US"/>
        </w:rPr>
        <w:t>lla penisola italica</w:t>
      </w:r>
      <w:r w:rsidRPr="00043667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(</w:t>
      </w:r>
      <w:r w:rsidRPr="00043667">
        <w:rPr>
          <w:rFonts w:eastAsia="Calibri"/>
          <w:szCs w:val="22"/>
          <w:lang w:eastAsia="en-US"/>
        </w:rPr>
        <w:t>Ostia</w:t>
      </w:r>
      <w:r>
        <w:rPr>
          <w:rFonts w:eastAsia="Calibri"/>
          <w:szCs w:val="22"/>
          <w:lang w:eastAsia="en-US"/>
        </w:rPr>
        <w:t>)</w:t>
      </w:r>
      <w:r w:rsidRPr="00043667">
        <w:rPr>
          <w:rFonts w:eastAsia="Calibri"/>
          <w:szCs w:val="22"/>
          <w:lang w:eastAsia="en-US"/>
        </w:rPr>
        <w:t xml:space="preserve">, senza trascurare </w:t>
      </w:r>
      <w:r>
        <w:rPr>
          <w:rFonts w:eastAsia="Calibri"/>
          <w:szCs w:val="22"/>
          <w:lang w:eastAsia="en-US"/>
        </w:rPr>
        <w:t>alcuni dei</w:t>
      </w:r>
      <w:r w:rsidRPr="00043667">
        <w:rPr>
          <w:rFonts w:eastAsia="Calibri"/>
          <w:szCs w:val="22"/>
          <w:lang w:eastAsia="en-US"/>
        </w:rPr>
        <w:t xml:space="preserve"> grandi complessi della Magna Grecia, che costituiranno l’occasione per contestualizzare le manifestazioni artistiche provenienti da questi luoghi di culto. </w:t>
      </w:r>
    </w:p>
    <w:p w:rsidR="008B6522" w:rsidRPr="00AC4A98" w:rsidRDefault="008B6522" w:rsidP="00384D33">
      <w:pPr>
        <w:tabs>
          <w:tab w:val="clear" w:pos="284"/>
        </w:tabs>
        <w:spacing w:before="120"/>
        <w:rPr>
          <w:rFonts w:eastAsia="Calibri"/>
          <w:color w:val="000000" w:themeColor="text1"/>
          <w:szCs w:val="22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>Laboratorio di catalogazione dei manufatti</w:t>
      </w:r>
      <w:r w:rsidRPr="00AC4A98">
        <w:rPr>
          <w:rFonts w:eastAsia="Calibri"/>
          <w:color w:val="000000" w:themeColor="text1"/>
          <w:szCs w:val="22"/>
          <w:lang w:eastAsia="en-US"/>
        </w:rPr>
        <w:t xml:space="preserve"> (</w:t>
      </w:r>
      <w:r w:rsidR="00384D33">
        <w:rPr>
          <w:rFonts w:eastAsia="Calibri"/>
          <w:i/>
          <w:color w:val="000000" w:themeColor="text1"/>
          <w:szCs w:val="22"/>
          <w:lang w:eastAsia="en-US"/>
        </w:rPr>
        <w:t>Prof.</w:t>
      </w:r>
      <w:r>
        <w:rPr>
          <w:rFonts w:eastAsia="Calibri"/>
          <w:i/>
          <w:color w:val="000000" w:themeColor="text1"/>
          <w:szCs w:val="22"/>
          <w:lang w:eastAsia="en-US"/>
        </w:rPr>
        <w:t xml:space="preserve"> </w:t>
      </w:r>
      <w:r w:rsidRPr="00AC4A98">
        <w:rPr>
          <w:rFonts w:eastAsia="Calibri"/>
          <w:i/>
          <w:color w:val="000000" w:themeColor="text1"/>
          <w:szCs w:val="22"/>
          <w:lang w:eastAsia="en-US"/>
        </w:rPr>
        <w:t>S</w:t>
      </w:r>
      <w:r>
        <w:rPr>
          <w:rFonts w:eastAsia="Calibri"/>
          <w:i/>
          <w:color w:val="000000" w:themeColor="text1"/>
          <w:szCs w:val="22"/>
          <w:lang w:eastAsia="en-US"/>
        </w:rPr>
        <w:t>erena</w:t>
      </w:r>
      <w:r w:rsidRPr="00AC4A98">
        <w:rPr>
          <w:rFonts w:eastAsia="Calibri"/>
          <w:i/>
          <w:color w:val="000000" w:themeColor="text1"/>
          <w:szCs w:val="22"/>
          <w:lang w:eastAsia="en-US"/>
        </w:rPr>
        <w:t xml:space="preserve"> Massa</w:t>
      </w:r>
      <w:r w:rsidRPr="00AC4A98">
        <w:rPr>
          <w:rFonts w:eastAsia="Calibri"/>
          <w:color w:val="000000" w:themeColor="text1"/>
          <w:szCs w:val="22"/>
          <w:lang w:eastAsia="en-US"/>
        </w:rPr>
        <w:t>):</w:t>
      </w:r>
    </w:p>
    <w:p w:rsidR="008B6522" w:rsidRPr="00694801" w:rsidRDefault="008B6522" w:rsidP="008B652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4801">
        <w:rPr>
          <w:rFonts w:eastAsia="Calibri"/>
          <w:szCs w:val="22"/>
          <w:lang w:eastAsia="en-US"/>
        </w:rPr>
        <w:t xml:space="preserve">Una sintesi della storia degli studi costituisce la premessa e l’introduzione all’attuale metodologia applicata all’analisi dei documenti materiali in archeologia. Le procedure standard per l’analisi morfologica e tecnologica dei manufatti </w:t>
      </w:r>
      <w:r w:rsidRPr="00694801">
        <w:rPr>
          <w:rFonts w:eastAsia="Calibri"/>
          <w:szCs w:val="22"/>
          <w:lang w:eastAsia="en-US"/>
        </w:rPr>
        <w:lastRenderedPageBreak/>
        <w:t>vengono presentate a livello teorico e applicate nelle esercitazioni pratiche, per la classificazione di diverse tipologie ceramiche diffuse in area mediterranea tra il IV secolo a.C. e il VII secolo d.C.</w:t>
      </w:r>
    </w:p>
    <w:p w:rsidR="008B6522" w:rsidRPr="00327E7E" w:rsidRDefault="008B6522" w:rsidP="008B6522">
      <w:pPr>
        <w:tabs>
          <w:tab w:val="clear" w:pos="284"/>
        </w:tabs>
        <w:spacing w:before="120"/>
        <w:rPr>
          <w:rFonts w:eastAsia="Calibri"/>
          <w:i/>
          <w:color w:val="000000" w:themeColor="text1"/>
          <w:szCs w:val="22"/>
          <w:lang w:eastAsia="en-US"/>
        </w:rPr>
      </w:pPr>
      <w:r w:rsidRPr="00384D33">
        <w:rPr>
          <w:rFonts w:eastAsia="Calibri"/>
          <w:smallCaps/>
          <w:color w:val="000000" w:themeColor="text1"/>
          <w:sz w:val="18"/>
          <w:szCs w:val="20"/>
          <w:lang w:eastAsia="en-US"/>
        </w:rPr>
        <w:t>II Modulo</w:t>
      </w:r>
      <w:r w:rsidRPr="00043667">
        <w:rPr>
          <w:rFonts w:eastAsia="Calibri"/>
          <w:smallCaps/>
          <w:color w:val="000000" w:themeColor="text1"/>
          <w:szCs w:val="20"/>
          <w:lang w:eastAsia="en-US"/>
        </w:rPr>
        <w:t>:</w:t>
      </w:r>
      <w:r>
        <w:rPr>
          <w:rFonts w:eastAsia="Calibri"/>
          <w:smallCaps/>
          <w:color w:val="000000" w:themeColor="text1"/>
          <w:sz w:val="18"/>
          <w:szCs w:val="22"/>
          <w:lang w:eastAsia="en-US"/>
        </w:rPr>
        <w:t xml:space="preserve"> </w:t>
      </w:r>
      <w:r w:rsidRPr="00043667">
        <w:rPr>
          <w:rFonts w:eastAsia="Calibri"/>
          <w:smallCaps/>
          <w:szCs w:val="20"/>
          <w:lang w:eastAsia="en-US"/>
        </w:rPr>
        <w:t>(</w:t>
      </w:r>
      <w:r w:rsidR="00384D33">
        <w:rPr>
          <w:rFonts w:eastAsia="Calibri"/>
          <w:i/>
          <w:szCs w:val="20"/>
          <w:lang w:eastAsia="en-US"/>
        </w:rPr>
        <w:t>P</w:t>
      </w:r>
      <w:r w:rsidRPr="00043667">
        <w:rPr>
          <w:rFonts w:eastAsia="Calibri"/>
          <w:i/>
          <w:szCs w:val="20"/>
          <w:lang w:eastAsia="en-US"/>
        </w:rPr>
        <w:t>rof. Francesca Bonzano</w:t>
      </w:r>
      <w:r>
        <w:rPr>
          <w:rFonts w:eastAsia="Calibri"/>
          <w:szCs w:val="20"/>
          <w:lang w:eastAsia="en-US"/>
        </w:rPr>
        <w:t>)</w:t>
      </w:r>
      <w:r>
        <w:rPr>
          <w:rFonts w:eastAsia="Calibri"/>
          <w:color w:val="000000" w:themeColor="text1"/>
          <w:szCs w:val="22"/>
          <w:lang w:eastAsia="en-US"/>
        </w:rPr>
        <w:t>.</w:t>
      </w:r>
    </w:p>
    <w:p w:rsidR="008B6522" w:rsidRPr="00A84EEA" w:rsidRDefault="008B6522" w:rsidP="008B652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694801">
        <w:rPr>
          <w:rFonts w:eastAsia="Calibri"/>
          <w:szCs w:val="22"/>
          <w:lang w:eastAsia="en-US"/>
        </w:rPr>
        <w:t>Sarà affrontata la trattazione della provincia romana di S</w:t>
      </w:r>
      <w:r>
        <w:rPr>
          <w:rFonts w:eastAsia="Calibri"/>
          <w:szCs w:val="22"/>
          <w:lang w:eastAsia="en-US"/>
        </w:rPr>
        <w:t>icili</w:t>
      </w:r>
      <w:r w:rsidRPr="00694801">
        <w:rPr>
          <w:rFonts w:eastAsia="Calibri"/>
          <w:szCs w:val="22"/>
          <w:lang w:eastAsia="en-US"/>
        </w:rPr>
        <w:t xml:space="preserve">a, </w:t>
      </w:r>
      <w:r>
        <w:rPr>
          <w:rFonts w:eastAsia="Calibri"/>
          <w:szCs w:val="22"/>
          <w:lang w:eastAsia="en-US"/>
        </w:rPr>
        <w:t>il primo dei territori conquistati da Roma a essere gestito secondo l’ordinamento provinciale.</w:t>
      </w:r>
      <w:r w:rsidRPr="00694801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V</w:t>
      </w:r>
      <w:r w:rsidRPr="00694801">
        <w:rPr>
          <w:rFonts w:eastAsia="Calibri"/>
          <w:szCs w:val="22"/>
          <w:lang w:eastAsia="en-US"/>
        </w:rPr>
        <w:t xml:space="preserve">erranno illustrate le dinamiche storiche che hanno portato alla costituzione e all’organizzazione </w:t>
      </w:r>
      <w:r>
        <w:rPr>
          <w:rFonts w:eastAsia="Calibri"/>
          <w:szCs w:val="22"/>
          <w:lang w:eastAsia="en-US"/>
        </w:rPr>
        <w:t>della provincia tra il 264 e il 210 a.C.</w:t>
      </w:r>
      <w:r w:rsidRPr="00694801">
        <w:rPr>
          <w:rFonts w:eastAsia="Calibri"/>
          <w:szCs w:val="22"/>
          <w:lang w:eastAsia="en-US"/>
        </w:rPr>
        <w:t xml:space="preserve">; quindi, con particolare attenzione al processo di romanizzazione dei diversi territori e all’interazione culturale con le preesistenze </w:t>
      </w:r>
      <w:r>
        <w:rPr>
          <w:rFonts w:eastAsia="Calibri"/>
          <w:szCs w:val="22"/>
          <w:lang w:eastAsia="en-US"/>
        </w:rPr>
        <w:t xml:space="preserve">greche, </w:t>
      </w:r>
      <w:r w:rsidRPr="00694801">
        <w:rPr>
          <w:rFonts w:eastAsia="Calibri"/>
          <w:szCs w:val="22"/>
          <w:lang w:eastAsia="en-US"/>
        </w:rPr>
        <w:t xml:space="preserve">cartaginesi e indigene, si procederà all’analisi dei </w:t>
      </w:r>
      <w:r>
        <w:rPr>
          <w:rFonts w:eastAsia="Calibri"/>
          <w:szCs w:val="22"/>
          <w:lang w:eastAsia="en-US"/>
        </w:rPr>
        <w:t>centri più significativi, con la disamina di complessi sia pubblici che privati.</w:t>
      </w:r>
    </w:p>
    <w:p w:rsidR="008B6522" w:rsidRDefault="008B6522" w:rsidP="008B6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B6522" w:rsidRPr="00694801" w:rsidRDefault="008B6522" w:rsidP="008B6522">
      <w:pPr>
        <w:tabs>
          <w:tab w:val="clear" w:pos="284"/>
        </w:tabs>
        <w:spacing w:line="276" w:lineRule="auto"/>
        <w:rPr>
          <w:rFonts w:eastAsia="Calibri"/>
          <w:szCs w:val="20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>I Modulo</w:t>
      </w:r>
      <w:r w:rsidRPr="00694801">
        <w:rPr>
          <w:rFonts w:eastAsia="Calibri"/>
          <w:smallCaps/>
          <w:szCs w:val="20"/>
          <w:lang w:eastAsia="en-US"/>
        </w:rPr>
        <w:t xml:space="preserve">: </w:t>
      </w:r>
      <w:r w:rsidRPr="00694801">
        <w:rPr>
          <w:rFonts w:eastAsia="Calibri"/>
          <w:i/>
          <w:szCs w:val="20"/>
          <w:lang w:eastAsia="en-US"/>
        </w:rPr>
        <w:t xml:space="preserve">Il mare e gli </w:t>
      </w:r>
      <w:proofErr w:type="spellStart"/>
      <w:r w:rsidRPr="00694801">
        <w:rPr>
          <w:rFonts w:eastAsia="Calibri"/>
          <w:i/>
          <w:szCs w:val="20"/>
          <w:lang w:eastAsia="en-US"/>
        </w:rPr>
        <w:t>dèi</w:t>
      </w:r>
      <w:proofErr w:type="spellEnd"/>
      <w:r w:rsidRPr="00694801">
        <w:rPr>
          <w:rFonts w:eastAsia="Calibri"/>
          <w:i/>
          <w:szCs w:val="20"/>
          <w:lang w:eastAsia="en-US"/>
        </w:rPr>
        <w:t>, tra sacro e profano. Porti e santuari nel Mediterraneo antico.</w:t>
      </w:r>
    </w:p>
    <w:p w:rsidR="008B6522" w:rsidRPr="00694801" w:rsidRDefault="008B6522" w:rsidP="008B6522">
      <w:pPr>
        <w:tabs>
          <w:tab w:val="clear" w:pos="284"/>
        </w:tabs>
        <w:spacing w:line="276" w:lineRule="auto"/>
        <w:rPr>
          <w:rFonts w:eastAsia="Calibri"/>
          <w:szCs w:val="20"/>
          <w:lang w:eastAsia="en-US"/>
        </w:rPr>
      </w:pPr>
      <w:r w:rsidRPr="00384D33">
        <w:rPr>
          <w:rFonts w:eastAsia="Calibri"/>
          <w:smallCaps/>
          <w:sz w:val="18"/>
          <w:szCs w:val="20"/>
          <w:lang w:eastAsia="en-US"/>
        </w:rPr>
        <w:t>II Modulo</w:t>
      </w:r>
      <w:r w:rsidRPr="00694801">
        <w:rPr>
          <w:rFonts w:eastAsia="Calibri"/>
          <w:smallCaps/>
          <w:szCs w:val="20"/>
          <w:lang w:eastAsia="en-US"/>
        </w:rPr>
        <w:t xml:space="preserve">: </w:t>
      </w:r>
      <w:r w:rsidRPr="00694801">
        <w:rPr>
          <w:rFonts w:eastAsia="Calibri"/>
          <w:i/>
          <w:szCs w:val="20"/>
          <w:lang w:eastAsia="en-US"/>
        </w:rPr>
        <w:t>Archeologia delle province romane: la S</w:t>
      </w:r>
      <w:r>
        <w:rPr>
          <w:rFonts w:eastAsia="Calibri"/>
          <w:i/>
          <w:szCs w:val="20"/>
          <w:lang w:eastAsia="en-US"/>
        </w:rPr>
        <w:t>icilia</w:t>
      </w:r>
      <w:r w:rsidRPr="00694801">
        <w:rPr>
          <w:rFonts w:eastAsia="Calibri"/>
          <w:i/>
          <w:szCs w:val="20"/>
          <w:lang w:eastAsia="en-US"/>
        </w:rPr>
        <w:t>.</w:t>
      </w:r>
    </w:p>
    <w:p w:rsidR="008B6522" w:rsidRPr="00384D33" w:rsidRDefault="008B6522" w:rsidP="00384D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5D10">
        <w:rPr>
          <w:rStyle w:val="Rimandonotaapidipagina"/>
          <w:b/>
          <w:i/>
          <w:sz w:val="18"/>
        </w:rPr>
        <w:footnoteReference w:id="1"/>
      </w:r>
    </w:p>
    <w:p w:rsidR="008B6522" w:rsidRPr="008B6522" w:rsidRDefault="008B6522" w:rsidP="008B6522">
      <w:pPr>
        <w:pStyle w:val="Testo1"/>
      </w:pPr>
      <w:r w:rsidRPr="008B6522">
        <w:t>Segue la principale bibliografia utilizzata dai docenti per la preparazione dei singoli moduli.</w:t>
      </w:r>
    </w:p>
    <w:p w:rsidR="008B6522" w:rsidRPr="008B6522" w:rsidRDefault="008B6522" w:rsidP="008B6522">
      <w:pPr>
        <w:pStyle w:val="Testo1"/>
      </w:pPr>
      <w:r w:rsidRPr="008B6522">
        <w:t>Per il I modulo:</w:t>
      </w:r>
    </w:p>
    <w:p w:rsidR="008B6522" w:rsidRPr="008B6522" w:rsidRDefault="008B6522" w:rsidP="008B6522">
      <w:pPr>
        <w:pStyle w:val="Testo1"/>
        <w:spacing w:before="0" w:line="240" w:lineRule="atLeast"/>
        <w:rPr>
          <w:spacing w:val="-5"/>
        </w:rPr>
      </w:pPr>
      <w:r w:rsidRPr="008B6522">
        <w:rPr>
          <w:smallCaps/>
          <w:spacing w:val="-5"/>
          <w:sz w:val="16"/>
        </w:rPr>
        <w:t>P. Gros,</w:t>
      </w:r>
      <w:r w:rsidRPr="008B6522">
        <w:rPr>
          <w:i/>
          <w:spacing w:val="-5"/>
        </w:rPr>
        <w:t xml:space="preserve"> L’architettura romana. Dagli inizi del III secolo a. C. alla fine dell’alto impero. I monumenti pubblici,</w:t>
      </w:r>
      <w:r w:rsidRPr="008B6522">
        <w:rPr>
          <w:spacing w:val="-5"/>
        </w:rPr>
        <w:t xml:space="preserve"> Longanesi, 2001.</w:t>
      </w:r>
    </w:p>
    <w:p w:rsidR="008B6522" w:rsidRPr="008B6522" w:rsidRDefault="008B6522" w:rsidP="008B6522">
      <w:pPr>
        <w:pStyle w:val="Testo1"/>
        <w:spacing w:before="0" w:line="240" w:lineRule="atLeast"/>
        <w:rPr>
          <w:spacing w:val="-5"/>
        </w:rPr>
      </w:pPr>
      <w:r w:rsidRPr="008B6522">
        <w:rPr>
          <w:smallCaps/>
          <w:spacing w:val="-5"/>
          <w:sz w:val="16"/>
        </w:rPr>
        <w:t>A. Gallina Zevi</w:t>
      </w:r>
      <w:r w:rsidR="00384D33">
        <w:rPr>
          <w:smallCaps/>
          <w:spacing w:val="-5"/>
          <w:sz w:val="16"/>
        </w:rPr>
        <w:t>-</w:t>
      </w:r>
      <w:r w:rsidRPr="00384D33">
        <w:rPr>
          <w:smallCaps/>
          <w:spacing w:val="-5"/>
          <w:sz w:val="16"/>
        </w:rPr>
        <w:t>R. Turchetti</w:t>
      </w:r>
      <w:r w:rsidRPr="008B6522">
        <w:rPr>
          <w:i/>
          <w:spacing w:val="-5"/>
        </w:rPr>
        <w:t xml:space="preserve"> </w:t>
      </w:r>
      <w:r w:rsidRPr="00384D33">
        <w:rPr>
          <w:spacing w:val="-5"/>
        </w:rPr>
        <w:t xml:space="preserve">(a cura di), </w:t>
      </w:r>
      <w:r w:rsidRPr="00384D33">
        <w:rPr>
          <w:i/>
          <w:spacing w:val="-5"/>
        </w:rPr>
        <w:t>Le strutture dei porti e degli approdi antichi</w:t>
      </w:r>
      <w:r w:rsidRPr="008B6522">
        <w:rPr>
          <w:spacing w:val="-5"/>
        </w:rPr>
        <w:t>, (II Seminario, Roma-Ostia Antica, 2004), Rubbettino, Soveria Mannelli, 2005.</w:t>
      </w:r>
      <w:r w:rsidR="00C25D10">
        <w:rPr>
          <w:spacing w:val="-5"/>
        </w:rPr>
        <w:t xml:space="preserve"> </w:t>
      </w:r>
      <w:hyperlink r:id="rId8" w:history="1">
        <w:r w:rsidR="00C25D10" w:rsidRPr="00C25D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B6522" w:rsidRPr="00384D33" w:rsidRDefault="008B6522" w:rsidP="008B6522">
      <w:pPr>
        <w:pStyle w:val="Testo1"/>
        <w:spacing w:before="0" w:line="240" w:lineRule="atLeast"/>
        <w:rPr>
          <w:spacing w:val="-5"/>
          <w:lang w:val="en-US"/>
        </w:rPr>
      </w:pPr>
      <w:r w:rsidRPr="00384D33">
        <w:rPr>
          <w:smallCaps/>
          <w:spacing w:val="-5"/>
          <w:sz w:val="16"/>
          <w:lang w:val="en-US"/>
        </w:rPr>
        <w:t>M.-C. Hellmann,</w:t>
      </w:r>
      <w:r w:rsidRPr="00384D33">
        <w:rPr>
          <w:i/>
          <w:spacing w:val="-5"/>
          <w:lang w:val="en-US"/>
        </w:rPr>
        <w:t xml:space="preserve"> L’architecture grecque. 2. Architecture religieuse et funéraire,</w:t>
      </w:r>
      <w:r w:rsidRPr="00384D33">
        <w:rPr>
          <w:spacing w:val="-5"/>
          <w:lang w:val="en-US"/>
        </w:rPr>
        <w:t xml:space="preserve"> Picard, Paris, 2005.</w:t>
      </w:r>
    </w:p>
    <w:p w:rsidR="008B6522" w:rsidRPr="008B6522" w:rsidRDefault="008B6522" w:rsidP="008B6522">
      <w:pPr>
        <w:pStyle w:val="Testo1"/>
        <w:spacing w:before="0" w:line="240" w:lineRule="atLeast"/>
        <w:rPr>
          <w:spacing w:val="-5"/>
        </w:rPr>
      </w:pPr>
      <w:r w:rsidRPr="008B6522">
        <w:rPr>
          <w:smallCaps/>
          <w:spacing w:val="-5"/>
          <w:sz w:val="16"/>
        </w:rPr>
        <w:t>G.F. La Torre,</w:t>
      </w:r>
      <w:r w:rsidRPr="008B6522">
        <w:rPr>
          <w:i/>
          <w:spacing w:val="-5"/>
        </w:rPr>
        <w:t xml:space="preserve"> Sicilia e Magna Grecia. Archeologia della colonizzazione greca d’Occidente,</w:t>
      </w:r>
      <w:r w:rsidRPr="008B6522">
        <w:rPr>
          <w:spacing w:val="-5"/>
        </w:rPr>
        <w:t xml:space="preserve"> Laterza, Roma-Bari 2011.</w:t>
      </w:r>
      <w:r w:rsidR="00C25D10">
        <w:rPr>
          <w:spacing w:val="-5"/>
        </w:rPr>
        <w:t xml:space="preserve"> </w:t>
      </w:r>
      <w:hyperlink r:id="rId9" w:history="1">
        <w:r w:rsidR="00C25D10" w:rsidRPr="00C25D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B6522" w:rsidRPr="008B6522" w:rsidRDefault="008B6522" w:rsidP="008B6522">
      <w:pPr>
        <w:pStyle w:val="Testo1"/>
        <w:spacing w:before="0" w:line="240" w:lineRule="atLeast"/>
        <w:rPr>
          <w:spacing w:val="-5"/>
        </w:rPr>
      </w:pPr>
      <w:r w:rsidRPr="008B6522">
        <w:rPr>
          <w:smallCaps/>
          <w:spacing w:val="-5"/>
          <w:sz w:val="16"/>
        </w:rPr>
        <w:t xml:space="preserve">C. Zaccaria </w:t>
      </w:r>
      <w:r w:rsidRPr="00384D33">
        <w:rPr>
          <w:spacing w:val="-5"/>
        </w:rPr>
        <w:t xml:space="preserve">(a cura di), </w:t>
      </w:r>
      <w:r w:rsidRPr="00384D33">
        <w:rPr>
          <w:i/>
          <w:spacing w:val="-5"/>
        </w:rPr>
        <w:t xml:space="preserve">L’epigrafia </w:t>
      </w:r>
      <w:r w:rsidRPr="008B6522">
        <w:rPr>
          <w:i/>
          <w:spacing w:val="-5"/>
        </w:rPr>
        <w:t>dei porti,</w:t>
      </w:r>
      <w:r w:rsidRPr="008B6522">
        <w:rPr>
          <w:spacing w:val="-5"/>
        </w:rPr>
        <w:t xml:space="preserve"> (Atti della XVIIe Rencontre sur l’Épigraphie du monde romain), Antichità Altoadriatiche, LXXIX, Editreg, Trieste, 2015.</w:t>
      </w:r>
    </w:p>
    <w:p w:rsidR="008B6522" w:rsidRPr="00384D33" w:rsidRDefault="008B6522" w:rsidP="008B6522">
      <w:pPr>
        <w:pStyle w:val="Testo1"/>
        <w:rPr>
          <w:lang w:val="en-US"/>
        </w:rPr>
      </w:pPr>
      <w:r w:rsidRPr="00384D33">
        <w:rPr>
          <w:lang w:val="en-US"/>
        </w:rPr>
        <w:t>Per il II modulo:</w:t>
      </w:r>
    </w:p>
    <w:p w:rsidR="008B6522" w:rsidRPr="008B6522" w:rsidRDefault="008B6522" w:rsidP="008B6522">
      <w:pPr>
        <w:pStyle w:val="Testo1"/>
        <w:spacing w:before="0" w:line="240" w:lineRule="atLeast"/>
        <w:rPr>
          <w:spacing w:val="-5"/>
        </w:rPr>
      </w:pPr>
      <w:r w:rsidRPr="00384D33">
        <w:rPr>
          <w:smallCaps/>
          <w:spacing w:val="-5"/>
          <w:sz w:val="16"/>
          <w:lang w:val="en-US"/>
        </w:rPr>
        <w:t>R.J.A. Wilson,</w:t>
      </w:r>
      <w:r w:rsidRPr="00384D33">
        <w:rPr>
          <w:i/>
          <w:spacing w:val="-5"/>
          <w:lang w:val="en-US"/>
        </w:rPr>
        <w:t xml:space="preserve"> Sicily under the Roman Empire. The Archaeology of a Roman Province. </w:t>
      </w:r>
      <w:r w:rsidRPr="008B6522">
        <w:rPr>
          <w:i/>
          <w:spacing w:val="-5"/>
        </w:rPr>
        <w:t>36 BC – AD 535,</w:t>
      </w:r>
      <w:r w:rsidRPr="008B6522">
        <w:rPr>
          <w:spacing w:val="-5"/>
        </w:rPr>
        <w:t xml:space="preserve"> Warminster, 1990.</w:t>
      </w:r>
    </w:p>
    <w:p w:rsidR="008B6522" w:rsidRPr="008B6522" w:rsidRDefault="00384D33" w:rsidP="008B652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C. Miccichè-S. Modeo-</w:t>
      </w:r>
      <w:r w:rsidR="008B6522" w:rsidRPr="00384D33">
        <w:rPr>
          <w:smallCaps/>
          <w:spacing w:val="-5"/>
          <w:sz w:val="16"/>
        </w:rPr>
        <w:t>L. Santagati</w:t>
      </w:r>
      <w:r w:rsidR="008B6522" w:rsidRPr="008B6522">
        <w:rPr>
          <w:spacing w:val="-5"/>
        </w:rPr>
        <w:t xml:space="preserve"> (a cura di), </w:t>
      </w:r>
      <w:r w:rsidR="008B6522" w:rsidRPr="00384D33">
        <w:rPr>
          <w:i/>
          <w:spacing w:val="-5"/>
        </w:rPr>
        <w:t>La Sicilia romana tra Repubblica e Alto impero</w:t>
      </w:r>
      <w:r w:rsidR="008B6522" w:rsidRPr="008B6522">
        <w:rPr>
          <w:spacing w:val="-5"/>
        </w:rPr>
        <w:t>, (Atti del Convegno di studi, Caltanissetta 2006), Caltanissetta, 2007.</w:t>
      </w:r>
    </w:p>
    <w:p w:rsidR="008B6522" w:rsidRPr="008B6522" w:rsidRDefault="008B6522" w:rsidP="008B6522">
      <w:pPr>
        <w:pStyle w:val="Testo1"/>
        <w:spacing w:before="0" w:line="240" w:lineRule="atLeast"/>
        <w:rPr>
          <w:spacing w:val="-5"/>
        </w:rPr>
      </w:pPr>
      <w:r w:rsidRPr="008B6522">
        <w:rPr>
          <w:smallCaps/>
          <w:spacing w:val="-5"/>
          <w:sz w:val="16"/>
        </w:rPr>
        <w:lastRenderedPageBreak/>
        <w:t>E.C. Portale,</w:t>
      </w:r>
      <w:r w:rsidRPr="008B6522">
        <w:rPr>
          <w:i/>
          <w:spacing w:val="-5"/>
        </w:rPr>
        <w:t xml:space="preserve"> Sicilia,</w:t>
      </w:r>
      <w:r w:rsidRPr="008B6522">
        <w:rPr>
          <w:spacing w:val="-5"/>
        </w:rPr>
        <w:t xml:space="preserve"> in </w:t>
      </w:r>
      <w:r w:rsidR="00384D33">
        <w:rPr>
          <w:smallCaps/>
          <w:spacing w:val="-5"/>
          <w:sz w:val="16"/>
        </w:rPr>
        <w:t>E.C. Portale-S. Angiolillo-</w:t>
      </w:r>
      <w:r w:rsidRPr="00384D33">
        <w:rPr>
          <w:smallCaps/>
          <w:spacing w:val="-5"/>
          <w:sz w:val="16"/>
        </w:rPr>
        <w:t>C. Vismara</w:t>
      </w:r>
      <w:r w:rsidRPr="008B6522">
        <w:rPr>
          <w:spacing w:val="-5"/>
        </w:rPr>
        <w:t xml:space="preserve">, </w:t>
      </w:r>
      <w:r w:rsidRPr="00384D33">
        <w:rPr>
          <w:i/>
          <w:spacing w:val="-5"/>
        </w:rPr>
        <w:t>Le grandi isole del Mediterraneo Occidentale. Sicilia, Sardinia, Corsic</w:t>
      </w:r>
      <w:r w:rsidRPr="008B6522">
        <w:rPr>
          <w:spacing w:val="-5"/>
        </w:rPr>
        <w:t xml:space="preserve">a, Roma, 2005, pp. 12-188. </w:t>
      </w:r>
    </w:p>
    <w:p w:rsidR="008B6522" w:rsidRPr="008B6522" w:rsidRDefault="008B6522" w:rsidP="008B6522">
      <w:pPr>
        <w:pStyle w:val="Testo1"/>
      </w:pPr>
      <w:r w:rsidRPr="008B6522">
        <w:t>Per il laboratorio di catalogazione dei manufatti:</w:t>
      </w:r>
    </w:p>
    <w:p w:rsidR="008B6522" w:rsidRPr="00384D33" w:rsidRDefault="00384D33" w:rsidP="008B6522">
      <w:pPr>
        <w:pStyle w:val="Testo1"/>
        <w:spacing w:before="0" w:line="240" w:lineRule="atLeast"/>
        <w:rPr>
          <w:spacing w:val="-5"/>
          <w:lang w:val="en-US"/>
        </w:rPr>
      </w:pPr>
      <w:r w:rsidRPr="00384D33">
        <w:rPr>
          <w:smallCaps/>
          <w:spacing w:val="-5"/>
          <w:sz w:val="16"/>
          <w:lang w:val="en-US"/>
        </w:rPr>
        <w:t xml:space="preserve">A. </w:t>
      </w:r>
      <w:r w:rsidR="008B6522" w:rsidRPr="00384D33">
        <w:rPr>
          <w:smallCaps/>
          <w:spacing w:val="-5"/>
          <w:sz w:val="16"/>
          <w:lang w:val="en-US"/>
        </w:rPr>
        <w:t>Barclay et al.</w:t>
      </w:r>
      <w:r w:rsidR="008B6522" w:rsidRPr="00384D33">
        <w:rPr>
          <w:spacing w:val="-5"/>
          <w:lang w:val="en-US"/>
        </w:rPr>
        <w:t xml:space="preserve"> 2016, </w:t>
      </w:r>
      <w:r w:rsidR="008B6522" w:rsidRPr="00384D33">
        <w:rPr>
          <w:i/>
          <w:spacing w:val="-5"/>
          <w:lang w:val="en-US"/>
        </w:rPr>
        <w:t>A Standard for Pottery Studies in Archaeology,</w:t>
      </w:r>
      <w:r w:rsidR="008B6522" w:rsidRPr="00384D33">
        <w:rPr>
          <w:spacing w:val="-5"/>
          <w:lang w:val="en-US"/>
        </w:rPr>
        <w:t xml:space="preserve"> Historic England.</w:t>
      </w:r>
    </w:p>
    <w:p w:rsidR="008B6522" w:rsidRPr="00384D33" w:rsidRDefault="008B6522" w:rsidP="008B6522">
      <w:pPr>
        <w:pStyle w:val="Testo1"/>
        <w:rPr>
          <w:lang w:val="en-US"/>
        </w:rPr>
      </w:pPr>
      <w:r w:rsidRPr="00384D33">
        <w:rPr>
          <w:lang w:val="en-US"/>
        </w:rPr>
        <w:t>https://www.researchgate.net/publication/305318918_A_Standard_for_Pottery_Studies_in_Archaeology.</w:t>
      </w:r>
    </w:p>
    <w:p w:rsidR="008B6522" w:rsidRPr="008B6522" w:rsidRDefault="00384D33" w:rsidP="008B6522">
      <w:pPr>
        <w:pStyle w:val="Testo1"/>
        <w:spacing w:before="0" w:line="240" w:lineRule="atLeast"/>
        <w:rPr>
          <w:spacing w:val="-5"/>
        </w:rPr>
      </w:pPr>
      <w:r w:rsidRPr="008B6522">
        <w:rPr>
          <w:smallCaps/>
          <w:spacing w:val="-5"/>
          <w:sz w:val="16"/>
        </w:rPr>
        <w:t xml:space="preserve">N. </w:t>
      </w:r>
      <w:r w:rsidR="008B6522" w:rsidRPr="008B6522">
        <w:rPr>
          <w:smallCaps/>
          <w:spacing w:val="-5"/>
          <w:sz w:val="16"/>
        </w:rPr>
        <w:t xml:space="preserve">Cuomo Di Caprio </w:t>
      </w:r>
      <w:r w:rsidR="008B6522" w:rsidRPr="00384D33">
        <w:rPr>
          <w:spacing w:val="-5"/>
        </w:rPr>
        <w:t>2007,</w:t>
      </w:r>
      <w:r w:rsidR="008B6522" w:rsidRPr="008B6522">
        <w:rPr>
          <w:i/>
          <w:spacing w:val="-5"/>
        </w:rPr>
        <w:t xml:space="preserve"> Ceramica in archeologia 2. Antiche tecniche di lavorazione e moderni metodi di indagine. </w:t>
      </w:r>
      <w:r w:rsidR="008B6522" w:rsidRPr="00384D33">
        <w:rPr>
          <w:spacing w:val="-5"/>
        </w:rPr>
        <w:t>Nuova edizione ampliata,</w:t>
      </w:r>
      <w:r w:rsidR="008B6522" w:rsidRPr="008B6522">
        <w:rPr>
          <w:spacing w:val="-5"/>
        </w:rPr>
        <w:t xml:space="preserve"> Roma.</w:t>
      </w:r>
    </w:p>
    <w:p w:rsidR="008B6522" w:rsidRPr="008B6522" w:rsidRDefault="00384D33" w:rsidP="008B6522">
      <w:pPr>
        <w:pStyle w:val="Testo1"/>
        <w:spacing w:before="0" w:line="240" w:lineRule="atLeast"/>
        <w:rPr>
          <w:spacing w:val="-5"/>
        </w:rPr>
      </w:pPr>
      <w:r w:rsidRPr="008B6522">
        <w:rPr>
          <w:smallCaps/>
          <w:spacing w:val="-5"/>
          <w:sz w:val="16"/>
        </w:rPr>
        <w:t xml:space="preserve">D. </w:t>
      </w:r>
      <w:r w:rsidR="008B6522" w:rsidRPr="008B6522">
        <w:rPr>
          <w:smallCaps/>
          <w:spacing w:val="-5"/>
          <w:sz w:val="16"/>
        </w:rPr>
        <w:t xml:space="preserve">Gandolfi </w:t>
      </w:r>
      <w:r w:rsidR="008B6522" w:rsidRPr="00384D33">
        <w:rPr>
          <w:spacing w:val="-5"/>
        </w:rPr>
        <w:t>2005 (a cura di),</w:t>
      </w:r>
      <w:r w:rsidR="008B6522" w:rsidRPr="008B6522">
        <w:rPr>
          <w:i/>
          <w:spacing w:val="-5"/>
        </w:rPr>
        <w:t xml:space="preserve"> La ceramica e i materiali di età romana. Classi</w:t>
      </w:r>
      <w:r w:rsidR="008B6522" w:rsidRPr="00384D33">
        <w:rPr>
          <w:i/>
          <w:spacing w:val="-5"/>
        </w:rPr>
        <w:t xml:space="preserve">, produzioni, commerci e consumi, </w:t>
      </w:r>
      <w:r w:rsidR="008B6522" w:rsidRPr="008B6522">
        <w:rPr>
          <w:spacing w:val="-5"/>
        </w:rPr>
        <w:t>Bordighera.</w:t>
      </w:r>
    </w:p>
    <w:p w:rsidR="008B6522" w:rsidRPr="008B6522" w:rsidRDefault="008B6522" w:rsidP="008B6522">
      <w:pPr>
        <w:pStyle w:val="Testo1"/>
      </w:pPr>
      <w:r w:rsidRPr="008B6522">
        <w:t xml:space="preserve">La bibliografia specifica per la preparazione dell’esame verrà fornita al termine dei rispettivi semestri, unitamente a un prospetto dettagliato degli argomenti affrontati nelle singole lezioni e alla bibliografia utilizzata dal docente. Le diapositive proiettate a lezione saranno via via caricate sulla piattaforma blackboard. </w:t>
      </w:r>
    </w:p>
    <w:p w:rsidR="008B6522" w:rsidRDefault="008B6522" w:rsidP="008B65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B6522" w:rsidRPr="008B6522" w:rsidRDefault="008B6522" w:rsidP="008B6522">
      <w:pPr>
        <w:pStyle w:val="Testo2"/>
      </w:pPr>
      <w:r w:rsidRPr="008B6522">
        <w:t>Lezioni in aula con proiezione e commento di immagini; per il laboratorio si prevedono lavori pratici guidati anche con l’utilizzo del microscopio stereoscopico.</w:t>
      </w:r>
    </w:p>
    <w:p w:rsidR="008B6522" w:rsidRPr="008B6522" w:rsidRDefault="008B6522" w:rsidP="008B6522">
      <w:pPr>
        <w:pStyle w:val="Testo2"/>
      </w:pPr>
      <w:r w:rsidRPr="008B6522">
        <w:t>Eventuali visite di studio (musei o siti archeologici), coordinate con altri insegnamenti, saranno comunicate nel corso dell’anno.</w:t>
      </w:r>
    </w:p>
    <w:p w:rsidR="008B6522" w:rsidRDefault="008B6522" w:rsidP="008B65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B6522" w:rsidRPr="008B6522" w:rsidRDefault="008B6522" w:rsidP="008B6522">
      <w:pPr>
        <w:pStyle w:val="Testo2"/>
      </w:pPr>
      <w:r w:rsidRPr="008B6522">
        <w:t>La valutazione avviene durante un colloquio orale finalizzato a verificare l’acquisizione dei contenuti e delle procedure metodologiche illustrate a lezione e affinate mediante la bibliografia di approfondimento. Elementi di valutazione saranno la capacità di sintetizzare problematiche complesse mediante un linguaggio chiaro e appropriato alla materia, nonché la capacità di rielaborare in modo critico le tematiche presentate durante il corso.</w:t>
      </w:r>
    </w:p>
    <w:p w:rsidR="008B6522" w:rsidRPr="008B6522" w:rsidRDefault="008B6522" w:rsidP="008B6522">
      <w:pPr>
        <w:pStyle w:val="Testo2"/>
      </w:pPr>
      <w:r w:rsidRPr="008B6522">
        <w:t>Anche la valutazione della parte riguardante il laboratorio di catalogazione dei manufatti si svolge mediante colloquio orale.</w:t>
      </w:r>
    </w:p>
    <w:p w:rsidR="008B6522" w:rsidRPr="008B6522" w:rsidRDefault="008B6522" w:rsidP="008B6522">
      <w:pPr>
        <w:pStyle w:val="Testo2"/>
      </w:pPr>
      <w:r w:rsidRPr="008B6522">
        <w:t>Quanti dovranno sostituire il laboratorio di catalogazione con quello di preparazione all’elaborato scritto (si vedano i prerequisiti) potranno sostenere il relativo programma tramite prova scritta o colloquio orale con il prof. F. Bonzano.</w:t>
      </w:r>
    </w:p>
    <w:p w:rsidR="008B6522" w:rsidRDefault="008B6522" w:rsidP="00384D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B6522" w:rsidRPr="008B6522" w:rsidRDefault="008B6522" w:rsidP="008B6522">
      <w:pPr>
        <w:pStyle w:val="Testo2"/>
        <w:rPr>
          <w:i/>
        </w:rPr>
      </w:pPr>
      <w:r w:rsidRPr="008B6522">
        <w:rPr>
          <w:i/>
        </w:rPr>
        <w:t>Prerequisti</w:t>
      </w:r>
    </w:p>
    <w:p w:rsidR="008B6522" w:rsidRPr="007E4BE9" w:rsidRDefault="008B6522" w:rsidP="008B6522">
      <w:pPr>
        <w:pStyle w:val="Testo2"/>
      </w:pPr>
      <w:r w:rsidRPr="007E4BE9">
        <w:t xml:space="preserve">Trattandosi di un corso specialistico, è data per acquisita la conoscenza delle linee generali di sviluppo della storia dell’arte greca e romana. Gli studenti che non fossero in possesso di questi requisiti sostituiranno il laboratorio di catalogazione dei manufatti con il laboratorio di preparazione all’elaborato scritto (afferente all’insegnamento di Archeologia </w:t>
      </w:r>
      <w:r w:rsidRPr="007E4BE9">
        <w:lastRenderedPageBreak/>
        <w:t>classica, laurea triennale). Si consiglia in ogni caso di verificare a inizio corso con il docente lo stato delle conoscenze pregresse, così da poter programmare interventi mirati.</w:t>
      </w:r>
    </w:p>
    <w:p w:rsidR="008B6522" w:rsidRPr="007E4BE9" w:rsidRDefault="008B6522" w:rsidP="00384D33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7E4BE9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8B6522" w:rsidRPr="008B6522" w:rsidRDefault="008B6522" w:rsidP="008B6522">
      <w:pPr>
        <w:pStyle w:val="Testo2"/>
      </w:pPr>
      <w:r w:rsidRPr="008B6522">
        <w:t>Il Prof. Francesca Bonzano riceve gli studenti il martedì dalle ore 14,00 alle ore 17,00 presso il suo studio (Franciscanum, IV piano, stanza 402).</w:t>
      </w:r>
    </w:p>
    <w:sectPr w:rsidR="008B6522" w:rsidRPr="008B65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10" w:rsidRDefault="00C25D10" w:rsidP="00C25D10">
      <w:pPr>
        <w:spacing w:line="240" w:lineRule="auto"/>
      </w:pPr>
      <w:r>
        <w:separator/>
      </w:r>
    </w:p>
  </w:endnote>
  <w:endnote w:type="continuationSeparator" w:id="0">
    <w:p w:rsidR="00C25D10" w:rsidRDefault="00C25D10" w:rsidP="00C25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10" w:rsidRDefault="00C25D10" w:rsidP="00C25D10">
      <w:pPr>
        <w:spacing w:line="240" w:lineRule="auto"/>
      </w:pPr>
      <w:r>
        <w:separator/>
      </w:r>
    </w:p>
  </w:footnote>
  <w:footnote w:type="continuationSeparator" w:id="0">
    <w:p w:rsidR="00C25D10" w:rsidRDefault="00C25D10" w:rsidP="00C25D10">
      <w:pPr>
        <w:spacing w:line="240" w:lineRule="auto"/>
      </w:pPr>
      <w:r>
        <w:continuationSeparator/>
      </w:r>
    </w:p>
  </w:footnote>
  <w:footnote w:id="1">
    <w:p w:rsidR="00C25D10" w:rsidRDefault="00C25D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2"/>
    <w:rsid w:val="00187B99"/>
    <w:rsid w:val="002014DD"/>
    <w:rsid w:val="002D5E17"/>
    <w:rsid w:val="00384D33"/>
    <w:rsid w:val="004D1217"/>
    <w:rsid w:val="004D6008"/>
    <w:rsid w:val="00640794"/>
    <w:rsid w:val="006F1772"/>
    <w:rsid w:val="008942E7"/>
    <w:rsid w:val="008A1204"/>
    <w:rsid w:val="008B6522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25D1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652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B6522"/>
    <w:pPr>
      <w:tabs>
        <w:tab w:val="clear" w:pos="284"/>
      </w:tabs>
      <w:spacing w:line="240" w:lineRule="auto"/>
      <w:jc w:val="left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6522"/>
  </w:style>
  <w:style w:type="character" w:styleId="Rimandonotaapidipagina">
    <w:name w:val="footnote reference"/>
    <w:basedOn w:val="Carpredefinitoparagrafo"/>
    <w:rsid w:val="00C25D10"/>
    <w:rPr>
      <w:vertAlign w:val="superscript"/>
    </w:rPr>
  </w:style>
  <w:style w:type="character" w:styleId="Collegamentoipertestuale">
    <w:name w:val="Hyperlink"/>
    <w:basedOn w:val="Carpredefinitoparagrafo"/>
    <w:rsid w:val="00C25D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652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B6522"/>
    <w:pPr>
      <w:tabs>
        <w:tab w:val="clear" w:pos="284"/>
      </w:tabs>
      <w:spacing w:line="240" w:lineRule="auto"/>
      <w:jc w:val="left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6522"/>
  </w:style>
  <w:style w:type="character" w:styleId="Rimandonotaapidipagina">
    <w:name w:val="footnote reference"/>
    <w:basedOn w:val="Carpredefinitoparagrafo"/>
    <w:rsid w:val="00C25D10"/>
    <w:rPr>
      <w:vertAlign w:val="superscript"/>
    </w:rPr>
  </w:style>
  <w:style w:type="character" w:styleId="Collegamentoipertestuale">
    <w:name w:val="Hyperlink"/>
    <w:basedOn w:val="Carpredefinitoparagrafo"/>
    <w:rsid w:val="00C25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le-strutture-dei-porti-e-degli-approdi-antichi-9788849811155-41295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la-torre-gioacchino-f/sicilia-e-magna-grecia-9788842095118-1744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D2C4-370E-45FB-A540-9619C92F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4</Pages>
  <Words>1046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2019-06-11T08:20:00Z</dcterms:created>
  <dcterms:modified xsi:type="dcterms:W3CDTF">2019-07-16T13:42:00Z</dcterms:modified>
</cp:coreProperties>
</file>