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2B21" w14:textId="024777A9" w:rsidR="00514355" w:rsidRDefault="00514355" w:rsidP="00514355">
      <w:pPr>
        <w:pStyle w:val="Titolo1"/>
      </w:pPr>
      <w:r>
        <w:t xml:space="preserve">Organizzazione </w:t>
      </w:r>
      <w:r w:rsidR="008C2601">
        <w:t>aziendale</w:t>
      </w:r>
    </w:p>
    <w:p w14:paraId="40817757" w14:textId="7675C8EB" w:rsidR="00514355" w:rsidRDefault="00514355" w:rsidP="00514355">
      <w:pPr>
        <w:pStyle w:val="Titolo2"/>
      </w:pPr>
      <w:r>
        <w:t>Prof. Franca Cantoni</w:t>
      </w:r>
    </w:p>
    <w:p w14:paraId="6931144A" w14:textId="77777777" w:rsidR="000D4D4A" w:rsidRDefault="000D4D4A" w:rsidP="000D4D4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AE454F2" w14:textId="77777777" w:rsidR="000D4D4A" w:rsidRDefault="000D4D4A" w:rsidP="000D4D4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Il corso fornisce agli studenti elementi utili a comprendere i diversi aspetti e modalità di progettazione e funzionamento dell’organizzazione del sistema aziendale sviluppando capacità di lettura dei fenomeni propri delle dinamiche e dei processi di cambiamento organizzativo.</w:t>
      </w:r>
    </w:p>
    <w:p w14:paraId="449B7745" w14:textId="77777777" w:rsidR="000D4D4A" w:rsidRDefault="000D4D4A" w:rsidP="000D4D4A"/>
    <w:p w14:paraId="1B3B641E" w14:textId="77777777" w:rsidR="000D4D4A" w:rsidRDefault="000D4D4A" w:rsidP="000D4D4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Al termine del corso lo studente sarà in possesso delle conoscenze </w:t>
      </w:r>
      <w:r>
        <w:rPr>
          <w:rFonts w:asciiTheme="majorHAnsi" w:hAnsiTheme="majorHAnsi"/>
          <w:sz w:val="18"/>
          <w:szCs w:val="18"/>
          <w:lang w:eastAsia="en-US"/>
        </w:rPr>
        <w:t xml:space="preserve">relative a modelli e strumenti per la gestione strategica di impresa e avrà sviluppato capacità di analisi e valutazione di strategie competitive. Sarà inoltre in grado di </w:t>
      </w:r>
      <w:r>
        <w:rPr>
          <w:rFonts w:asciiTheme="majorHAnsi" w:hAnsiTheme="majorHAnsi"/>
          <w:sz w:val="18"/>
          <w:szCs w:val="18"/>
        </w:rPr>
        <w:t xml:space="preserve">dimostrare conoscenza operativa e analizzare </w:t>
      </w:r>
      <w:r>
        <w:rPr>
          <w:rFonts w:asciiTheme="majorHAnsi" w:hAnsiTheme="majorHAnsi"/>
          <w:sz w:val="18"/>
          <w:szCs w:val="18"/>
          <w:lang w:eastAsia="en-US"/>
        </w:rPr>
        <w:t>diversi assetti e modalità di funzionamento di una organizzazione d'impresa.</w:t>
      </w:r>
    </w:p>
    <w:p w14:paraId="507C8267" w14:textId="77777777" w:rsidR="000D4D4A" w:rsidRDefault="000D4D4A" w:rsidP="000D4D4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3A38966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L’organizzazione del sistema aziendale</w:t>
      </w:r>
    </w:p>
    <w:p w14:paraId="43DB020B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La visione contingente del sistema organizzativo</w:t>
      </w:r>
    </w:p>
    <w:p w14:paraId="43EA40BB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Le scelte di confine organizzativo</w:t>
      </w:r>
    </w:p>
    <w:p w14:paraId="0CC20C85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Le dimensioni contestuali (ambiente, tecnologia, dimensioni e ciclo di vita, strategia, cultura) e strutturali (formalizzazione, specializzazione, gerarchia, centralizzazione, professionalità, indicatori del personale).</w:t>
      </w:r>
    </w:p>
    <w:p w14:paraId="0B6701D8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 xml:space="preserve">Elementi fondamentali di progettazione macro e </w:t>
      </w:r>
      <w:proofErr w:type="gramStart"/>
      <w:r>
        <w:rPr>
          <w:rFonts w:asciiTheme="majorHAnsi" w:hAnsiTheme="majorHAnsi"/>
          <w:sz w:val="18"/>
          <w:szCs w:val="18"/>
          <w:lang w:eastAsia="en-US"/>
        </w:rPr>
        <w:t>micro organizzativa</w:t>
      </w:r>
      <w:proofErr w:type="gramEnd"/>
    </w:p>
    <w:p w14:paraId="09BE5F70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 xml:space="preserve">Le relazioni </w:t>
      </w:r>
      <w:proofErr w:type="spellStart"/>
      <w:r>
        <w:rPr>
          <w:rFonts w:asciiTheme="majorHAnsi" w:hAnsiTheme="majorHAnsi"/>
          <w:sz w:val="18"/>
          <w:szCs w:val="18"/>
          <w:lang w:eastAsia="en-US"/>
        </w:rPr>
        <w:t>interorganizzative</w:t>
      </w:r>
      <w:proofErr w:type="spellEnd"/>
    </w:p>
    <w:p w14:paraId="6760065B" w14:textId="74E0E4E0" w:rsidR="000D4D4A" w:rsidRDefault="000D4D4A" w:rsidP="000D4D4A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4F7CC21A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 xml:space="preserve">R.L. DAFT, Organizzazione Aziendale, Maggioli Ed., 2021, settima ed. </w:t>
      </w:r>
    </w:p>
    <w:p w14:paraId="002F2C40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1 – Organizzazioni e progettazione organizzativa</w:t>
      </w:r>
    </w:p>
    <w:p w14:paraId="2CC14DB2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2 – Strategia, progettazione organizzativa ed efficacia</w:t>
      </w:r>
    </w:p>
    <w:p w14:paraId="0ECE7338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3 – Elementi fondamentali della struttura organizzativa</w:t>
      </w:r>
    </w:p>
    <w:p w14:paraId="2126ED22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4 – L’ambiente esterno</w:t>
      </w:r>
    </w:p>
    <w:p w14:paraId="6D63F742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 xml:space="preserve">Capitolo 8 – Progettazione organizzativa per le tecnologie manifatturiere e per i servizi </w:t>
      </w:r>
    </w:p>
    <w:p w14:paraId="2F118AE0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10 – Dimensioni organizzative, ciclo di vita e declino (pag. 381-395)</w:t>
      </w:r>
    </w:p>
    <w:p w14:paraId="4F097C6E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11 – Cultura organizzativa e controllo</w:t>
      </w:r>
    </w:p>
    <w:p w14:paraId="1C9546F3" w14:textId="77777777" w:rsidR="00AA15EB" w:rsidRDefault="00AA15EB" w:rsidP="000D4D4A">
      <w:pPr>
        <w:spacing w:before="240" w:after="120" w:line="220" w:lineRule="exact"/>
        <w:rPr>
          <w:b/>
          <w:i/>
          <w:sz w:val="18"/>
        </w:rPr>
      </w:pPr>
    </w:p>
    <w:p w14:paraId="25EC3FE4" w14:textId="77777777" w:rsidR="00AA15EB" w:rsidRDefault="00AA15EB" w:rsidP="000D4D4A">
      <w:pPr>
        <w:spacing w:before="240" w:after="120" w:line="220" w:lineRule="exact"/>
        <w:rPr>
          <w:b/>
          <w:i/>
          <w:sz w:val="18"/>
        </w:rPr>
      </w:pPr>
    </w:p>
    <w:p w14:paraId="6C539C5A" w14:textId="25CF89F5" w:rsidR="000D4D4A" w:rsidRDefault="000D4D4A" w:rsidP="000D4D4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5EA21AE2" w14:textId="77777777" w:rsidR="000D4D4A" w:rsidRDefault="000D4D4A" w:rsidP="000D4D4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Per favorire l’apprendimento, oltre alle lezioni frontali, il corso prevede un ciclo di incontri con diverse e significative realtà aziendali e con esperti e professionisti delle dinamiche dell’innovazione e del cambiamento organizzativo. Obiettivo principale è consentire il consolidamento delle nozioni e degli aspetti teorici appresi favorendo il confronto con manager e imprenditori che quotidianamente gestiscono e risolvono problemi organizzativi.</w:t>
      </w:r>
    </w:p>
    <w:p w14:paraId="0BEE496A" w14:textId="77777777" w:rsidR="000D4D4A" w:rsidRDefault="000D4D4A" w:rsidP="000D4D4A">
      <w:pPr>
        <w:pStyle w:val="Testo2"/>
        <w:ind w:firstLine="0"/>
      </w:pPr>
    </w:p>
    <w:p w14:paraId="4F831DE8" w14:textId="77777777" w:rsidR="000D4D4A" w:rsidRDefault="000D4D4A" w:rsidP="000D4D4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41F222C" w14:textId="77777777" w:rsidR="000D4D4A" w:rsidRDefault="000D4D4A" w:rsidP="000D4D4A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Non sono previste modalità d’esame distinte per studenti frequentanti e non frequentanti. Non verranno rilevate le presenze ma le domande d’esame verteranno su temi specificamente affrontati in aula e su testimonianze. Lo studente è tenuto a prepararsi sul libro di testo indicato utilizzando le slides e gli appunti come supporto e non in sostituzione ai libri. </w:t>
      </w:r>
    </w:p>
    <w:p w14:paraId="696EEA78" w14:textId="0F40CC22" w:rsidR="000D4D4A" w:rsidRDefault="000D4D4A" w:rsidP="000D4D4A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L’esame è composto da un test con 27 domande a scelta multipla dove viene attribuito un punteggio pari a 1/30 per ogni risposta corretta. Il test prevede inoltre una domanda a risposta libera ma guidata dove il punteggio massimo attribuito può essere pari a 5/30.</w:t>
      </w:r>
    </w:p>
    <w:p w14:paraId="5F25DA6E" w14:textId="77777777" w:rsidR="000D4D4A" w:rsidRDefault="000D4D4A" w:rsidP="000D4D4A">
      <w:pPr>
        <w:tabs>
          <w:tab w:val="clear" w:pos="284"/>
          <w:tab w:val="left" w:pos="708"/>
        </w:tabs>
        <w:spacing w:line="240" w:lineRule="auto"/>
      </w:pPr>
      <w:r>
        <w:t>In particolare, la valutazione delle risposte alle domande chiuse è mirata a comprendere la padronanza dei concetti chiave, la correttezza del linguaggio tecnico utilizzato e la capacità di ragionamento all’interno della disciplina mentre la risposta alla domanda aperta (valutata in termini di completezza e approfondimento,  coerenza delle argomentazioni fornite, appropriatezza del linguaggio utilizzato, capacità di fare collegamenti) è rivolta alla applicazione della teoria appresa in aula a un caso pratico oppure alla lettura ragionata di testimonianze rese in aula.</w:t>
      </w:r>
    </w:p>
    <w:p w14:paraId="1C6931A8" w14:textId="77777777" w:rsidR="000D4D4A" w:rsidRDefault="000D4D4A" w:rsidP="000D4D4A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La durata dell’esame è di 60 minuti.</w:t>
      </w:r>
    </w:p>
    <w:p w14:paraId="1E688015" w14:textId="77777777" w:rsidR="000D4D4A" w:rsidRDefault="000D4D4A" w:rsidP="000D4D4A">
      <w:pPr>
        <w:tabs>
          <w:tab w:val="left" w:pos="426"/>
        </w:tabs>
      </w:pPr>
    </w:p>
    <w:p w14:paraId="2A065F07" w14:textId="77777777" w:rsidR="000D4D4A" w:rsidRDefault="000D4D4A" w:rsidP="000D4D4A">
      <w:pPr>
        <w:spacing w:after="24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 E PREREQUISITI</w:t>
      </w:r>
    </w:p>
    <w:p w14:paraId="0E791F70" w14:textId="191618AB" w:rsidR="000D4D4A" w:rsidRDefault="000D4D4A" w:rsidP="00FE1830">
      <w:pPr>
        <w:tabs>
          <w:tab w:val="clear" w:pos="284"/>
          <w:tab w:val="left" w:pos="708"/>
        </w:tabs>
        <w:spacing w:line="240" w:lineRule="auto"/>
      </w:pPr>
      <w:r>
        <w:t>Avendo carattere introduttivo, l’insegnamento non necessita di prerequisiti relativi ai contenuti.</w:t>
      </w:r>
      <w:r w:rsidR="00FE1830">
        <w:t xml:space="preserve"> </w:t>
      </w:r>
      <w:r>
        <w:t>La frequenza, anche se non obbligatoria, è consigliata.</w:t>
      </w:r>
    </w:p>
    <w:p w14:paraId="57B7D125" w14:textId="77777777" w:rsidR="000D4D4A" w:rsidRDefault="000D4D4A" w:rsidP="000D4D4A"/>
    <w:p w14:paraId="41DF60E4" w14:textId="77777777" w:rsidR="000D4D4A" w:rsidRDefault="000D4D4A" w:rsidP="000D4D4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ORARIO E LUOGO DI RICEVIMENTO STUDENTI</w:t>
      </w:r>
    </w:p>
    <w:p w14:paraId="3194EC9C" w14:textId="77777777" w:rsidR="000D4D4A" w:rsidRDefault="000D4D4A" w:rsidP="000D4D4A">
      <w:pPr>
        <w:rPr>
          <w:b/>
          <w:i/>
          <w:sz w:val="18"/>
          <w:szCs w:val="18"/>
        </w:rPr>
      </w:pPr>
    </w:p>
    <w:p w14:paraId="3945F816" w14:textId="77777777" w:rsidR="000D4D4A" w:rsidRDefault="000D4D4A" w:rsidP="000D4D4A">
      <w:pPr>
        <w:rPr>
          <w:sz w:val="18"/>
          <w:szCs w:val="18"/>
        </w:rPr>
      </w:pPr>
      <w:r>
        <w:rPr>
          <w:sz w:val="18"/>
          <w:szCs w:val="18"/>
        </w:rPr>
        <w:t xml:space="preserve">Gli orari di ricevimento sono disponibili on line nella pagina personale del docente, consultabile al sito </w:t>
      </w:r>
      <w:hyperlink r:id="rId8" w:history="1">
        <w:r>
          <w:rPr>
            <w:rStyle w:val="Collegamentoipertestuale"/>
            <w:sz w:val="18"/>
            <w:szCs w:val="18"/>
          </w:rPr>
          <w:t>http://docenti.unicatt.it/</w:t>
        </w:r>
      </w:hyperlink>
    </w:p>
    <w:sectPr w:rsidR="000D4D4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cs="Time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15382844"/>
    <w:multiLevelType w:val="hybridMultilevel"/>
    <w:tmpl w:val="09AA0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5B7E"/>
    <w:multiLevelType w:val="hybridMultilevel"/>
    <w:tmpl w:val="515A461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65339"/>
    <w:multiLevelType w:val="hybridMultilevel"/>
    <w:tmpl w:val="1124EE08"/>
    <w:lvl w:ilvl="0" w:tplc="4B36C1E2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F704A6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 w15:restartNumberingAfterBreak="0">
    <w:nsid w:val="2EB5191A"/>
    <w:multiLevelType w:val="hybridMultilevel"/>
    <w:tmpl w:val="56E638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D111F"/>
    <w:multiLevelType w:val="hybridMultilevel"/>
    <w:tmpl w:val="35E28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2A15BB"/>
    <w:multiLevelType w:val="hybridMultilevel"/>
    <w:tmpl w:val="B88A0C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D45DD"/>
    <w:multiLevelType w:val="hybridMultilevel"/>
    <w:tmpl w:val="D6448F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FC7645"/>
    <w:multiLevelType w:val="hybridMultilevel"/>
    <w:tmpl w:val="1F0C7884"/>
    <w:lvl w:ilvl="0" w:tplc="88BE8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763666">
    <w:abstractNumId w:val="0"/>
  </w:num>
  <w:num w:numId="2" w16cid:durableId="1235509665">
    <w:abstractNumId w:val="5"/>
  </w:num>
  <w:num w:numId="3" w16cid:durableId="1545365275">
    <w:abstractNumId w:val="8"/>
  </w:num>
  <w:num w:numId="4" w16cid:durableId="1808744916">
    <w:abstractNumId w:val="7"/>
  </w:num>
  <w:num w:numId="5" w16cid:durableId="1111587686">
    <w:abstractNumId w:val="9"/>
  </w:num>
  <w:num w:numId="6" w16cid:durableId="545946970">
    <w:abstractNumId w:val="3"/>
  </w:num>
  <w:num w:numId="7" w16cid:durableId="2135168643">
    <w:abstractNumId w:val="6"/>
  </w:num>
  <w:num w:numId="8" w16cid:durableId="642124248">
    <w:abstractNumId w:val="1"/>
  </w:num>
  <w:num w:numId="9" w16cid:durableId="29187530">
    <w:abstractNumId w:val="4"/>
  </w:num>
  <w:num w:numId="10" w16cid:durableId="2112779427">
    <w:abstractNumId w:val="2"/>
  </w:num>
  <w:num w:numId="11" w16cid:durableId="255477808">
    <w:abstractNumId w:val="10"/>
  </w:num>
  <w:num w:numId="12" w16cid:durableId="831605316">
    <w:abstractNumId w:val="10"/>
  </w:num>
  <w:num w:numId="13" w16cid:durableId="19212854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B3"/>
    <w:rsid w:val="0001606D"/>
    <w:rsid w:val="0007426B"/>
    <w:rsid w:val="000773E0"/>
    <w:rsid w:val="000C7180"/>
    <w:rsid w:val="000D4D4A"/>
    <w:rsid w:val="000E18A0"/>
    <w:rsid w:val="0010404A"/>
    <w:rsid w:val="00142CE2"/>
    <w:rsid w:val="0015071D"/>
    <w:rsid w:val="0018390F"/>
    <w:rsid w:val="001A74B4"/>
    <w:rsid w:val="001B522A"/>
    <w:rsid w:val="001F7E57"/>
    <w:rsid w:val="00202ABD"/>
    <w:rsid w:val="002A0FE9"/>
    <w:rsid w:val="003006A9"/>
    <w:rsid w:val="00347CF2"/>
    <w:rsid w:val="003907C0"/>
    <w:rsid w:val="003F2F14"/>
    <w:rsid w:val="00404BB3"/>
    <w:rsid w:val="00405604"/>
    <w:rsid w:val="004C21B2"/>
    <w:rsid w:val="00514355"/>
    <w:rsid w:val="005A3AB1"/>
    <w:rsid w:val="006461C3"/>
    <w:rsid w:val="00654F15"/>
    <w:rsid w:val="00684334"/>
    <w:rsid w:val="006A2653"/>
    <w:rsid w:val="006B6687"/>
    <w:rsid w:val="006E4026"/>
    <w:rsid w:val="00732AB1"/>
    <w:rsid w:val="00764CBC"/>
    <w:rsid w:val="00794B20"/>
    <w:rsid w:val="007C2575"/>
    <w:rsid w:val="0083730B"/>
    <w:rsid w:val="00871E89"/>
    <w:rsid w:val="00882D79"/>
    <w:rsid w:val="00887295"/>
    <w:rsid w:val="008B2D23"/>
    <w:rsid w:val="008C2601"/>
    <w:rsid w:val="008C69C8"/>
    <w:rsid w:val="008E3646"/>
    <w:rsid w:val="00913A44"/>
    <w:rsid w:val="0092371E"/>
    <w:rsid w:val="00933354"/>
    <w:rsid w:val="00946D9B"/>
    <w:rsid w:val="00971DB6"/>
    <w:rsid w:val="009877E2"/>
    <w:rsid w:val="009C1DAC"/>
    <w:rsid w:val="009E030E"/>
    <w:rsid w:val="00A0742A"/>
    <w:rsid w:val="00A2491C"/>
    <w:rsid w:val="00A61C25"/>
    <w:rsid w:val="00A75C79"/>
    <w:rsid w:val="00AA15EB"/>
    <w:rsid w:val="00B91265"/>
    <w:rsid w:val="00BF5CE4"/>
    <w:rsid w:val="00C03C7E"/>
    <w:rsid w:val="00C35949"/>
    <w:rsid w:val="00C7075C"/>
    <w:rsid w:val="00C87DF3"/>
    <w:rsid w:val="00CC348E"/>
    <w:rsid w:val="00D16431"/>
    <w:rsid w:val="00D16F74"/>
    <w:rsid w:val="00D40593"/>
    <w:rsid w:val="00DB5216"/>
    <w:rsid w:val="00DC3854"/>
    <w:rsid w:val="00DF361E"/>
    <w:rsid w:val="00DF4E99"/>
    <w:rsid w:val="00E22133"/>
    <w:rsid w:val="00E45FB7"/>
    <w:rsid w:val="00EA47C4"/>
    <w:rsid w:val="00EC3357"/>
    <w:rsid w:val="00EE0E53"/>
    <w:rsid w:val="00F02861"/>
    <w:rsid w:val="00F32370"/>
    <w:rsid w:val="00F8777A"/>
    <w:rsid w:val="00F922EC"/>
    <w:rsid w:val="00FD1D92"/>
    <w:rsid w:val="00FD4505"/>
    <w:rsid w:val="00FE1830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8B265"/>
  <w15:docId w15:val="{083053B7-6F16-4780-9A1E-92255C95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C25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04BB3"/>
    <w:pPr>
      <w:ind w:left="720"/>
      <w:contextualSpacing/>
    </w:pPr>
    <w:rPr>
      <w:rFonts w:eastAsia="Calibri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0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0404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7075C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075C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C7075C"/>
    <w:rPr>
      <w:rFonts w:ascii="Times" w:hAnsi="Times"/>
      <w:i/>
      <w: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684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08679e-e4c4-4629-b11b-4474d6e913f6">
      <Terms xmlns="http://schemas.microsoft.com/office/infopath/2007/PartnerControls"/>
    </lcf76f155ced4ddcb4097134ff3c332f>
    <TaxCatchAll xmlns="bde9ea70-b558-476b-80ed-adb3bdeea2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EE2C4-B48D-4338-9D75-A0D126091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AF4D0-25DB-440E-961C-55345AE66B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7338BB-DD6E-4D8E-BD39-EFACD67AFE09}"/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Settings\paola.fiori\Dati applicazioni\Microsoft\Modelli\PROG_COR_2003 (2a versione).dot</Template>
  <TotalTime>10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Cantoni Franca (franca.cantoni)</cp:lastModifiedBy>
  <cp:revision>10</cp:revision>
  <cp:lastPrinted>2012-10-02T10:17:00Z</cp:lastPrinted>
  <dcterms:created xsi:type="dcterms:W3CDTF">2020-07-15T12:33:00Z</dcterms:created>
  <dcterms:modified xsi:type="dcterms:W3CDTF">2022-05-12T14:23:00Z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-1949479660</vt:i4>
  </property>
  <property fmtid="{D5CDD505-2E9C-101B-9397-08002B2CF9AE}" pid="3" name="ContentTypeId">
    <vt:lpwstr>0x010100A970489894056947A0943D3402F3C9C4</vt:lpwstr>
  </property>
</Properties>
</file>