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8F2" w14:textId="45343086" w:rsidR="000302CB" w:rsidRPr="000302CB" w:rsidRDefault="0067648B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Analisi finanziaria e Finanza Aziendale</w:t>
      </w:r>
      <w:r w:rsidR="000302CB" w:rsidRPr="000302CB">
        <w:rPr>
          <w:b/>
          <w:noProof/>
        </w:rPr>
        <w:t xml:space="preserve"> </w:t>
      </w:r>
    </w:p>
    <w:p w14:paraId="42347FC1" w14:textId="38319E50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67648B">
        <w:rPr>
          <w:smallCaps/>
          <w:noProof/>
          <w:sz w:val="18"/>
        </w:rPr>
        <w:t>Matteo Cotugno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6828D345" w14:textId="0768115D" w:rsidR="00244D19" w:rsidRDefault="007A4BD9" w:rsidP="002D38D9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si propone di fornire gli elementi di base </w:t>
      </w:r>
      <w:r w:rsidR="00BF75E4">
        <w:rPr>
          <w:bCs/>
          <w:iCs/>
        </w:rPr>
        <w:t>dell’analis</w:t>
      </w:r>
      <w:r w:rsidR="00244D19">
        <w:rPr>
          <w:bCs/>
          <w:iCs/>
        </w:rPr>
        <w:t>i finanziaria e gli strumenti della</w:t>
      </w:r>
      <w:r w:rsidR="00BF75E4">
        <w:rPr>
          <w:bCs/>
          <w:iCs/>
        </w:rPr>
        <w:t xml:space="preserve"> finanza d’impresa per guidare le scelte di finanziamento e di investimento delle aziende. </w:t>
      </w:r>
      <w:r w:rsidR="00244D19">
        <w:rPr>
          <w:bCs/>
          <w:iCs/>
        </w:rPr>
        <w:t>Oltre a fornire le chiavi di lettura dell’impresa nella prospettiva del</w:t>
      </w:r>
      <w:r w:rsidR="002D38D9">
        <w:rPr>
          <w:bCs/>
          <w:iCs/>
        </w:rPr>
        <w:t xml:space="preserve"> </w:t>
      </w:r>
      <w:r w:rsidR="00244D19">
        <w:rPr>
          <w:bCs/>
          <w:iCs/>
        </w:rPr>
        <w:t xml:space="preserve">finanziatore esterno (sia a titolo di capitale di rischio, sia a titolo di capitale di debito) il corso, con </w:t>
      </w:r>
      <w:r w:rsidR="00D85D5C">
        <w:rPr>
          <w:bCs/>
          <w:iCs/>
        </w:rPr>
        <w:t xml:space="preserve">un </w:t>
      </w:r>
      <w:r w:rsidR="00244D19">
        <w:rPr>
          <w:bCs/>
          <w:iCs/>
        </w:rPr>
        <w:t>approccio pragmatico, modellizza</w:t>
      </w:r>
      <w:r w:rsidR="00D85D5C">
        <w:rPr>
          <w:bCs/>
          <w:iCs/>
        </w:rPr>
        <w:t xml:space="preserve"> le scelte finanziarie</w:t>
      </w:r>
      <w:r w:rsidR="002D38D9">
        <w:rPr>
          <w:bCs/>
          <w:iCs/>
        </w:rPr>
        <w:t xml:space="preserve"> mediante un utilizzo avanzato del foglio di calcolo.</w:t>
      </w:r>
      <w:r w:rsidR="00BF75E4">
        <w:rPr>
          <w:bCs/>
          <w:iCs/>
        </w:rPr>
        <w:t xml:space="preserve"> </w:t>
      </w:r>
      <w:r w:rsidR="00112223">
        <w:rPr>
          <w:bCs/>
          <w:iCs/>
        </w:rPr>
        <w:t>L’insegnamento</w:t>
      </w:r>
      <w:r w:rsidRPr="00947913">
        <w:rPr>
          <w:bCs/>
          <w:iCs/>
        </w:rPr>
        <w:t xml:space="preserve"> co</w:t>
      </w:r>
      <w:r w:rsidR="00BF75E4">
        <w:rPr>
          <w:bCs/>
          <w:iCs/>
        </w:rPr>
        <w:t xml:space="preserve">niuga </w:t>
      </w:r>
      <w:r w:rsidRPr="00947913">
        <w:rPr>
          <w:bCs/>
          <w:iCs/>
        </w:rPr>
        <w:t>la robus</w:t>
      </w:r>
      <w:r w:rsidR="002D38D9">
        <w:rPr>
          <w:bCs/>
          <w:iCs/>
        </w:rPr>
        <w:t xml:space="preserve">tezza dell’impianto teorico agli </w:t>
      </w:r>
      <w:r w:rsidR="00E72D41">
        <w:rPr>
          <w:bCs/>
          <w:iCs/>
        </w:rPr>
        <w:t>aspetti</w:t>
      </w:r>
      <w:r w:rsidR="00244D19">
        <w:rPr>
          <w:bCs/>
          <w:iCs/>
        </w:rPr>
        <w:t xml:space="preserve"> operativi</w:t>
      </w:r>
      <w:r w:rsidRPr="00947913">
        <w:rPr>
          <w:bCs/>
          <w:iCs/>
        </w:rPr>
        <w:t xml:space="preserve"> </w:t>
      </w:r>
      <w:r w:rsidR="002D38D9">
        <w:rPr>
          <w:bCs/>
          <w:iCs/>
        </w:rPr>
        <w:t>della finanza d’impresa.</w:t>
      </w:r>
    </w:p>
    <w:p w14:paraId="7C008DC7" w14:textId="77777777" w:rsidR="00BF75E4" w:rsidRDefault="00BF75E4" w:rsidP="00BF75E4">
      <w:pPr>
        <w:autoSpaceDE w:val="0"/>
        <w:autoSpaceDN w:val="0"/>
        <w:adjustRightInd w:val="0"/>
        <w:ind w:firstLine="284"/>
        <w:rPr>
          <w:bCs/>
          <w:iCs/>
        </w:rPr>
      </w:pPr>
    </w:p>
    <w:p w14:paraId="70EE1F80" w14:textId="31FE598D" w:rsidR="007A4BD9" w:rsidRDefault="007A4BD9" w:rsidP="007A4BD9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14:paraId="22AA631C" w14:textId="6CE4DCD0" w:rsidR="00BF75E4" w:rsidRDefault="00BF75E4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Analizzare in maniera crit</w:t>
      </w:r>
      <w:r w:rsidR="00D85D5C">
        <w:rPr>
          <w:szCs w:val="28"/>
        </w:rPr>
        <w:t>ica il fabbisogno finanziario dell’</w:t>
      </w:r>
      <w:r>
        <w:rPr>
          <w:szCs w:val="28"/>
        </w:rPr>
        <w:t>impresa e la dinamica finanziaria;</w:t>
      </w:r>
    </w:p>
    <w:p w14:paraId="0185B6E3" w14:textId="6E733996" w:rsidR="00E72D41" w:rsidRDefault="00E72D41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Leggere e interpretare criticamente il rendiconto finanziario</w:t>
      </w:r>
      <w:r w:rsidR="00D85D5C">
        <w:rPr>
          <w:szCs w:val="28"/>
        </w:rPr>
        <w:t>;</w:t>
      </w:r>
    </w:p>
    <w:p w14:paraId="7A3B536E" w14:textId="3E2D6472" w:rsidR="007A4BD9" w:rsidRDefault="002D38D9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Redigere un</w:t>
      </w:r>
      <w:r w:rsidR="00E72D41">
        <w:rPr>
          <w:szCs w:val="28"/>
        </w:rPr>
        <w:t xml:space="preserve"> </w:t>
      </w:r>
      <w:r w:rsidR="00D85D5C">
        <w:rPr>
          <w:szCs w:val="28"/>
        </w:rPr>
        <w:t>piano industriale e verificarne</w:t>
      </w:r>
      <w:r w:rsidR="00E72D41">
        <w:rPr>
          <w:szCs w:val="28"/>
        </w:rPr>
        <w:t xml:space="preserve"> la sostenibilità</w:t>
      </w:r>
      <w:r w:rsidR="007A4BD9">
        <w:rPr>
          <w:szCs w:val="28"/>
        </w:rPr>
        <w:t>;</w:t>
      </w:r>
    </w:p>
    <w:p w14:paraId="193B84DC" w14:textId="0996FDA1" w:rsidR="00C569E6" w:rsidRPr="007A4BD9" w:rsidRDefault="00E72D41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Realizzare fogli di calcolo per la comprensione della dinamica finanziaria dell’impresa.</w:t>
      </w:r>
    </w:p>
    <w:p w14:paraId="1B647D31" w14:textId="77777777" w:rsidR="007A4BD9" w:rsidRPr="00947913" w:rsidRDefault="007A4BD9" w:rsidP="007A4BD9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79237FE3" w14:textId="35898A39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corporate banking: l’approccio bancario</w:t>
      </w:r>
    </w:p>
    <w:p w14:paraId="61EE256B" w14:textId="1E65C06E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Le garanzie per il credito</w:t>
      </w:r>
    </w:p>
    <w:p w14:paraId="1072684A" w14:textId="7B2E2D37" w:rsidR="007A4BD9" w:rsidRDefault="0067648B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bilancio e la sua riclassificazione</w:t>
      </w:r>
    </w:p>
    <w:p w14:paraId="1D4ED95F" w14:textId="77777777" w:rsidR="006D1C62" w:rsidRDefault="0067648B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L’analisi </w:t>
      </w:r>
      <w:r w:rsidR="006D1C62">
        <w:rPr>
          <w:bCs/>
          <w:iCs/>
        </w:rPr>
        <w:t>degli indici di bilancio</w:t>
      </w:r>
    </w:p>
    <w:p w14:paraId="7E683CB4" w14:textId="683EDE15" w:rsidR="00FE5F28" w:rsidRPr="00FE5F28" w:rsidRDefault="006D1C62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L’analisi della </w:t>
      </w:r>
      <w:r w:rsidR="0067648B">
        <w:rPr>
          <w:bCs/>
          <w:iCs/>
        </w:rPr>
        <w:t>dinamica finanziaria</w:t>
      </w:r>
    </w:p>
    <w:p w14:paraId="10179DC0" w14:textId="48B02C49" w:rsidR="007A4BD9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 bilanci di previsione</w:t>
      </w:r>
    </w:p>
    <w:p w14:paraId="3C56E253" w14:textId="628EDA05" w:rsidR="006D1C62" w:rsidRDefault="006D1C62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previsione a breve termine</w:t>
      </w:r>
    </w:p>
    <w:p w14:paraId="706C62C0" w14:textId="5B5C9D05" w:rsidR="00044F66" w:rsidRDefault="00C768FE" w:rsidP="00C768FE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left="142" w:hanging="142"/>
        <w:jc w:val="left"/>
        <w:rPr>
          <w:bCs/>
          <w:iCs/>
        </w:rPr>
      </w:pPr>
      <w:r>
        <w:rPr>
          <w:bCs/>
          <w:iCs/>
        </w:rPr>
        <w:t>Implementazione dell’analisi finanziaria (storica e prospettica) mediante l’utilizzo del foglio di calcolo</w:t>
      </w:r>
    </w:p>
    <w:p w14:paraId="4AE9098E" w14:textId="5333BA5F" w:rsidR="007E1B0B" w:rsidRDefault="007E1B0B" w:rsidP="00044F66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1144"/>
        <w:jc w:val="left"/>
        <w:rPr>
          <w:bCs/>
          <w:iCs/>
        </w:rPr>
      </w:pPr>
    </w:p>
    <w:p w14:paraId="73F916A1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 w:rsidR="00EF13E8">
        <w:rPr>
          <w:szCs w:val="18"/>
        </w:rPr>
        <w:t>i obbligatori</w:t>
      </w:r>
      <w:r>
        <w:rPr>
          <w:smallCaps/>
          <w:szCs w:val="18"/>
        </w:rPr>
        <w:t>:</w:t>
      </w:r>
    </w:p>
    <w:p w14:paraId="5D741253" w14:textId="10DF7B94" w:rsidR="00060516" w:rsidRDefault="0067648B" w:rsidP="00060516">
      <w:pPr>
        <w:pStyle w:val="Testo1"/>
      </w:pPr>
      <w:r>
        <w:rPr>
          <w:smallCaps/>
          <w:sz w:val="16"/>
          <w:szCs w:val="16"/>
        </w:rPr>
        <w:t>Regalli M., Soana M.G., Tagliavini G.</w:t>
      </w:r>
      <w:r w:rsidR="00060516" w:rsidRPr="004D7266">
        <w:t>,</w:t>
      </w:r>
      <w:r w:rsidR="00060516" w:rsidRPr="004D7266">
        <w:rPr>
          <w:i/>
        </w:rPr>
        <w:t xml:space="preserve"> </w:t>
      </w:r>
      <w:r>
        <w:rPr>
          <w:i/>
        </w:rPr>
        <w:t>Analisi finanziaria</w:t>
      </w:r>
      <w:r w:rsidR="00060516" w:rsidRPr="004D7266">
        <w:t xml:space="preserve">, </w:t>
      </w:r>
      <w:r>
        <w:t>2018</w:t>
      </w:r>
      <w:r>
        <w:rPr>
          <w:szCs w:val="18"/>
        </w:rPr>
        <w:t>, McGra</w:t>
      </w:r>
      <w:r w:rsidR="00060516" w:rsidRPr="004D7266">
        <w:rPr>
          <w:szCs w:val="18"/>
        </w:rPr>
        <w:t>w-Hill</w:t>
      </w:r>
      <w:r w:rsidR="00060516" w:rsidRPr="004D7266">
        <w:t>.</w:t>
      </w:r>
    </w:p>
    <w:p w14:paraId="0849BFF9" w14:textId="5FF696A1" w:rsidR="00112223" w:rsidRDefault="00112223" w:rsidP="00112223">
      <w:pPr>
        <w:pStyle w:val="Testo1"/>
        <w:ind w:left="0" w:firstLine="0"/>
      </w:pPr>
    </w:p>
    <w:p w14:paraId="0E431776" w14:textId="12789C26" w:rsidR="00060516" w:rsidRPr="00947913" w:rsidRDefault="004D185F" w:rsidP="00D85D5C">
      <w:r w:rsidRPr="00D85D5C">
        <w:lastRenderedPageBreak/>
        <w:t>S</w:t>
      </w:r>
      <w:r w:rsidR="00060516" w:rsidRPr="00D85D5C">
        <w:t>ulla piattaforma blackboard e sulla pagina docente verranno indicate le parti della bibliografia necessarie per la preparazione dell’esame. Sulla piattaforma blac</w:t>
      </w:r>
      <w:r w:rsidR="007E1B0B" w:rsidRPr="00D85D5C">
        <w:t>kboard verrà messo a disposizion</w:t>
      </w:r>
      <w:r w:rsidR="00060516" w:rsidRPr="00D85D5C">
        <w:t>e il materiale didattico utilizzato dal docente durante le lezioni.</w:t>
      </w:r>
    </w:p>
    <w:p w14:paraId="2760692C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3B3367E4" w:rsidR="007A4BD9" w:rsidRPr="00947913" w:rsidRDefault="007A4BD9" w:rsidP="007A4BD9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20A1DD6" w14:textId="77777777" w:rsidR="000E4CD9" w:rsidRDefault="000E4CD9" w:rsidP="000E4CD9">
      <w:pPr>
        <w:pStyle w:val="Testo2"/>
        <w:rPr>
          <w:sz w:val="20"/>
        </w:rPr>
      </w:pPr>
      <w:r>
        <w:rPr>
          <w:sz w:val="20"/>
        </w:rPr>
        <w:t>Le metodologie di valutazione dell’apprendimento sono differenti per gli studenti frequentanti e non frequentanti.</w:t>
      </w:r>
    </w:p>
    <w:p w14:paraId="292750FE" w14:textId="77777777" w:rsidR="000E4CD9" w:rsidRDefault="000E4CD9" w:rsidP="000E4CD9">
      <w:pPr>
        <w:pStyle w:val="Testo2"/>
        <w:rPr>
          <w:sz w:val="20"/>
        </w:rPr>
      </w:pPr>
      <w:r>
        <w:rPr>
          <w:sz w:val="20"/>
        </w:rPr>
        <w:t xml:space="preserve">Gli </w:t>
      </w:r>
      <w:r w:rsidRPr="00370F1D">
        <w:rPr>
          <w:sz w:val="20"/>
          <w:u w:val="single"/>
        </w:rPr>
        <w:t>studenti frequentanti</w:t>
      </w:r>
      <w:r>
        <w:rPr>
          <w:sz w:val="20"/>
        </w:rPr>
        <w:t xml:space="preserve"> svilupperanno in piccoli gruppi un caso di valutazione d’azienda (max. 7 punti). Inoltre, dovranno sostenere una prova scritta, consistente in 10 domande a risposta multipla (max. 10 punti) e due domande a risposta aperta (max. 14 punti). </w:t>
      </w:r>
    </w:p>
    <w:p w14:paraId="645AE73B" w14:textId="77777777" w:rsidR="000E4CD9" w:rsidRDefault="000E4CD9" w:rsidP="000E4CD9">
      <w:pPr>
        <w:pStyle w:val="Testo2"/>
        <w:rPr>
          <w:sz w:val="20"/>
        </w:rPr>
      </w:pPr>
      <w:r>
        <w:rPr>
          <w:sz w:val="20"/>
        </w:rPr>
        <w:t xml:space="preserve">Gli </w:t>
      </w:r>
      <w:r w:rsidRPr="00370F1D">
        <w:rPr>
          <w:sz w:val="20"/>
          <w:u w:val="single"/>
        </w:rPr>
        <w:t xml:space="preserve">studenti </w:t>
      </w:r>
      <w:r>
        <w:rPr>
          <w:sz w:val="20"/>
          <w:u w:val="single"/>
        </w:rPr>
        <w:t xml:space="preserve">non </w:t>
      </w:r>
      <w:r w:rsidRPr="00370F1D">
        <w:rPr>
          <w:sz w:val="20"/>
          <w:u w:val="single"/>
        </w:rPr>
        <w:t>frequentanti</w:t>
      </w:r>
      <w:r>
        <w:rPr>
          <w:sz w:val="20"/>
        </w:rPr>
        <w:t xml:space="preserve"> sosterrano esclusivamente un esame scritto consistente in 10 domande a risposta multipla (max 10 punti), due domande a risposta aperta (max. 14 punti) e un esercizio pratico (max 7 punti). </w:t>
      </w:r>
    </w:p>
    <w:p w14:paraId="0E659CCD" w14:textId="0679C2EE" w:rsidR="000E4CD9" w:rsidRDefault="000E4CD9" w:rsidP="000E4CD9">
      <w:pPr>
        <w:pStyle w:val="Testo2"/>
        <w:rPr>
          <w:sz w:val="20"/>
        </w:rPr>
      </w:pPr>
      <w:r>
        <w:rPr>
          <w:sz w:val="20"/>
        </w:rPr>
        <w:t>Relativamente ai lavori di gruppo degli studenti frequentanti si valuterà la chiarezza espositiva, la qualità della presentazione in power point e l’accurate</w:t>
      </w:r>
      <w:r w:rsidR="001D1934">
        <w:rPr>
          <w:sz w:val="20"/>
        </w:rPr>
        <w:t>z</w:t>
      </w:r>
      <w:r>
        <w:rPr>
          <w:sz w:val="20"/>
        </w:rPr>
        <w:t>za del modello in excel sviluppato a supporto della presentazione.</w:t>
      </w:r>
    </w:p>
    <w:p w14:paraId="0EF76640" w14:textId="1FD494B7" w:rsidR="003C760D" w:rsidRDefault="000E4CD9" w:rsidP="000E4CD9">
      <w:pPr>
        <w:pStyle w:val="Testo2"/>
        <w:rPr>
          <w:sz w:val="20"/>
        </w:rPr>
      </w:pPr>
      <w:r>
        <w:rPr>
          <w:sz w:val="20"/>
        </w:rPr>
        <w:t>Per le domande aperte si valuterà, in particolare, la capacità di esposizione in maniera rigorosa e con una terminologia appropriata, le abilità di collegare i differenti argomenti del programma, lo spirito critico. Il</w:t>
      </w:r>
      <w:r w:rsidR="00234245">
        <w:rPr>
          <w:sz w:val="20"/>
        </w:rPr>
        <w:t xml:space="preserve"> voto è espresso in trentesimi.</w:t>
      </w:r>
      <w:bookmarkStart w:id="0" w:name="_GoBack"/>
      <w:bookmarkEnd w:id="0"/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27CCA1EA" w:rsidR="001E27A7" w:rsidRDefault="007A4BD9" w:rsidP="00044F66">
      <w:pPr>
        <w:ind w:firstLine="284"/>
      </w:pPr>
      <w:r>
        <w:t xml:space="preserve">Lo studente dovrà possedere le conoscenze di </w:t>
      </w:r>
      <w:r w:rsidR="00D85D5C">
        <w:t>contabilità</w:t>
      </w:r>
      <w:r w:rsidR="00044F66">
        <w:t xml:space="preserve"> e capacità di base nell’utilizzo del foglio di calcolo (Excel™)</w:t>
      </w:r>
      <w:r>
        <w:t xml:space="preserve">. </w:t>
      </w:r>
      <w:r w:rsidR="001E27A7" w:rsidRPr="001E27A7">
        <w:t>La frequenza, anche se non obbligatoria, è fortemente consigliata.</w:t>
      </w:r>
    </w:p>
    <w:p w14:paraId="64ED947F" w14:textId="77777777" w:rsidR="00F702D4" w:rsidRDefault="00F702D4" w:rsidP="00F702D4">
      <w:pPr>
        <w:ind w:firstLine="284"/>
      </w:pPr>
    </w:p>
    <w:p w14:paraId="46441305" w14:textId="48BCE4CD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29A3" w14:textId="77777777" w:rsidR="005435F8" w:rsidRDefault="005435F8" w:rsidP="007E1B0B">
      <w:pPr>
        <w:spacing w:line="240" w:lineRule="auto"/>
      </w:pPr>
      <w:r>
        <w:separator/>
      </w:r>
    </w:p>
  </w:endnote>
  <w:endnote w:type="continuationSeparator" w:id="0">
    <w:p w14:paraId="6E31133E" w14:textId="77777777" w:rsidR="005435F8" w:rsidRDefault="005435F8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5039" w14:textId="77777777" w:rsidR="005435F8" w:rsidRDefault="005435F8" w:rsidP="007E1B0B">
      <w:pPr>
        <w:spacing w:line="240" w:lineRule="auto"/>
      </w:pPr>
      <w:r>
        <w:separator/>
      </w:r>
    </w:p>
  </w:footnote>
  <w:footnote w:type="continuationSeparator" w:id="0">
    <w:p w14:paraId="4CE46BE0" w14:textId="77777777" w:rsidR="005435F8" w:rsidRDefault="005435F8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rQUAYLjfUSwAAAA="/>
  </w:docVars>
  <w:rsids>
    <w:rsidRoot w:val="0062659D"/>
    <w:rsid w:val="000302CB"/>
    <w:rsid w:val="00044F66"/>
    <w:rsid w:val="00057BA2"/>
    <w:rsid w:val="00060516"/>
    <w:rsid w:val="000657A7"/>
    <w:rsid w:val="000668F0"/>
    <w:rsid w:val="00086BA6"/>
    <w:rsid w:val="000D35DE"/>
    <w:rsid w:val="000E4CD9"/>
    <w:rsid w:val="001108D0"/>
    <w:rsid w:val="00111D7B"/>
    <w:rsid w:val="00112223"/>
    <w:rsid w:val="001133AC"/>
    <w:rsid w:val="00120B50"/>
    <w:rsid w:val="00130932"/>
    <w:rsid w:val="00181031"/>
    <w:rsid w:val="00184BD0"/>
    <w:rsid w:val="001912DD"/>
    <w:rsid w:val="001D1934"/>
    <w:rsid w:val="001E1AD8"/>
    <w:rsid w:val="001E27A7"/>
    <w:rsid w:val="00234245"/>
    <w:rsid w:val="00244D19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D185F"/>
    <w:rsid w:val="004D4CAA"/>
    <w:rsid w:val="004D7266"/>
    <w:rsid w:val="004F475D"/>
    <w:rsid w:val="0052292F"/>
    <w:rsid w:val="005315DF"/>
    <w:rsid w:val="00531F58"/>
    <w:rsid w:val="005435F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A38BD"/>
    <w:rsid w:val="006D1C62"/>
    <w:rsid w:val="006F50E6"/>
    <w:rsid w:val="00702A00"/>
    <w:rsid w:val="00715BC8"/>
    <w:rsid w:val="00745AF6"/>
    <w:rsid w:val="0074721B"/>
    <w:rsid w:val="00760861"/>
    <w:rsid w:val="007656CC"/>
    <w:rsid w:val="00782561"/>
    <w:rsid w:val="007A420F"/>
    <w:rsid w:val="007A4BD9"/>
    <w:rsid w:val="007A670D"/>
    <w:rsid w:val="007D4E6D"/>
    <w:rsid w:val="007E1B0B"/>
    <w:rsid w:val="008555FC"/>
    <w:rsid w:val="008719E6"/>
    <w:rsid w:val="008A4261"/>
    <w:rsid w:val="008D30BA"/>
    <w:rsid w:val="008D4FD0"/>
    <w:rsid w:val="00970FEE"/>
    <w:rsid w:val="00A5210D"/>
    <w:rsid w:val="00A6294F"/>
    <w:rsid w:val="00AB1106"/>
    <w:rsid w:val="00AC59CC"/>
    <w:rsid w:val="00AC7F26"/>
    <w:rsid w:val="00B27032"/>
    <w:rsid w:val="00B83AFA"/>
    <w:rsid w:val="00BC5486"/>
    <w:rsid w:val="00BF75E4"/>
    <w:rsid w:val="00C114FC"/>
    <w:rsid w:val="00C20046"/>
    <w:rsid w:val="00C3628D"/>
    <w:rsid w:val="00C427C7"/>
    <w:rsid w:val="00C569E6"/>
    <w:rsid w:val="00C768FE"/>
    <w:rsid w:val="00C91FF9"/>
    <w:rsid w:val="00C9403D"/>
    <w:rsid w:val="00CA5FE4"/>
    <w:rsid w:val="00CC5E8E"/>
    <w:rsid w:val="00CE5171"/>
    <w:rsid w:val="00CE60A4"/>
    <w:rsid w:val="00D02A7F"/>
    <w:rsid w:val="00D05028"/>
    <w:rsid w:val="00D85D5C"/>
    <w:rsid w:val="00DE1770"/>
    <w:rsid w:val="00E50217"/>
    <w:rsid w:val="00E72D41"/>
    <w:rsid w:val="00E91BC6"/>
    <w:rsid w:val="00EF13E8"/>
    <w:rsid w:val="00F702D4"/>
    <w:rsid w:val="00F923D4"/>
    <w:rsid w:val="00FA3F1C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745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14</cp:revision>
  <cp:lastPrinted>2012-10-26T13:23:00Z</cp:lastPrinted>
  <dcterms:created xsi:type="dcterms:W3CDTF">2021-07-09T15:40:00Z</dcterms:created>
  <dcterms:modified xsi:type="dcterms:W3CDTF">2022-06-28T08:45:00Z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