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F3A88" w14:textId="77777777" w:rsidR="00E772A2" w:rsidRPr="00186D2E" w:rsidRDefault="00186D2E">
      <w:pPr>
        <w:pStyle w:val="Titolo1"/>
        <w:rPr>
          <w:noProof w:val="0"/>
        </w:rPr>
      </w:pPr>
      <w:r w:rsidRPr="00186D2E">
        <w:rPr>
          <w:noProof w:val="0"/>
        </w:rPr>
        <w:t xml:space="preserve">. - Biology of Microorganisms </w:t>
      </w:r>
    </w:p>
    <w:p w14:paraId="0735235D" w14:textId="77777777" w:rsidR="00E772A2" w:rsidRPr="00186D2E" w:rsidRDefault="00186D2E">
      <w:pPr>
        <w:pStyle w:val="Titolo2"/>
        <w:rPr>
          <w:noProof w:val="0"/>
        </w:rPr>
      </w:pPr>
      <w:r w:rsidRPr="00186D2E">
        <w:rPr>
          <w:noProof w:val="0"/>
        </w:rPr>
        <w:t>Prof. Alessandra Fontana</w:t>
      </w:r>
    </w:p>
    <w:p w14:paraId="1C9A63DB" w14:textId="77777777" w:rsidR="00E772A2" w:rsidRPr="00186D2E" w:rsidRDefault="00186D2E">
      <w:pPr>
        <w:spacing w:before="240" w:after="120"/>
        <w:rPr>
          <w:b/>
          <w:sz w:val="18"/>
        </w:rPr>
      </w:pPr>
      <w:r w:rsidRPr="00186D2E">
        <w:rPr>
          <w:b/>
          <w:i/>
          <w:sz w:val="18"/>
        </w:rPr>
        <w:t>COURSE AIMS AND INTENDED LEARNING OUTCOMES</w:t>
      </w:r>
    </w:p>
    <w:p w14:paraId="69F57D75" w14:textId="77777777" w:rsidR="00E772A2" w:rsidRPr="00186D2E" w:rsidRDefault="00186D2E">
      <w:pPr>
        <w:spacing w:line="240" w:lineRule="auto"/>
      </w:pPr>
      <w:r w:rsidRPr="00186D2E">
        <w:tab/>
        <w:t xml:space="preserve">The course aims to provide students with the basic knowledge of microbiology needed to understand the roles and importance of microorganisms in agricultural, food and environmental systems. The course also aims to provide a general knowledge of the biochemical and genetic mechanisms that regulate the life of microorganisms, prokaryotes and eukaryotes, as well as to introduce the topics of the systems controlling their development and industrial use. </w:t>
      </w:r>
    </w:p>
    <w:p w14:paraId="09DAD47D" w14:textId="77777777" w:rsidR="00E772A2" w:rsidRPr="00186D2E" w:rsidRDefault="00186D2E">
      <w:pPr>
        <w:spacing w:before="120" w:line="240" w:lineRule="auto"/>
        <w:rPr>
          <w:b/>
          <w:sz w:val="18"/>
        </w:rPr>
      </w:pPr>
      <w:r w:rsidRPr="00186D2E">
        <w:rPr>
          <w:b/>
          <w:i/>
        </w:rPr>
        <w:tab/>
      </w:r>
      <w:r w:rsidRPr="00186D2E">
        <w:t xml:space="preserve">At the end of the course, students will know and understand the main topics of the microbial world, in both its positive and negative aspects. Students will be able to describe the structures that make up the microbial cells of eubacteria, archaebacteria and fungi. They will know the main microbial metabolisms, with particular reference to those relevant for the agro-food and environmental sector. Students will be able to define the main microbial groups and their role in the biosphere. They will also be able to describe the methods of antimicrobial control and </w:t>
      </w:r>
      <w:proofErr w:type="gramStart"/>
      <w:r w:rsidRPr="00186D2E">
        <w:t>to critically address</w:t>
      </w:r>
      <w:proofErr w:type="gramEnd"/>
      <w:r w:rsidRPr="00186D2E">
        <w:t xml:space="preserve"> the issue of antibiotic resistance.</w:t>
      </w:r>
    </w:p>
    <w:p w14:paraId="2B1670DD" w14:textId="77777777" w:rsidR="00E772A2" w:rsidRPr="00186D2E" w:rsidRDefault="00186D2E">
      <w:pPr>
        <w:spacing w:before="240" w:after="120"/>
        <w:rPr>
          <w:b/>
          <w:sz w:val="18"/>
        </w:rPr>
      </w:pPr>
      <w:r w:rsidRPr="00186D2E">
        <w:rPr>
          <w:b/>
          <w:i/>
          <w:sz w:val="18"/>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1"/>
        <w:gridCol w:w="1139"/>
      </w:tblGrid>
      <w:tr w:rsidR="00E772A2" w:rsidRPr="00186D2E" w14:paraId="336B5C8F" w14:textId="77777777">
        <w:tc>
          <w:tcPr>
            <w:tcW w:w="5746" w:type="dxa"/>
            <w:shd w:val="clear" w:color="auto" w:fill="auto"/>
          </w:tcPr>
          <w:p w14:paraId="16F4A3A2" w14:textId="77777777" w:rsidR="00E772A2" w:rsidRPr="00186D2E" w:rsidRDefault="00E772A2"/>
        </w:tc>
        <w:tc>
          <w:tcPr>
            <w:tcW w:w="1160" w:type="dxa"/>
            <w:shd w:val="clear" w:color="auto" w:fill="auto"/>
          </w:tcPr>
          <w:p w14:paraId="42362D0E" w14:textId="77777777" w:rsidR="00E772A2" w:rsidRPr="00186D2E" w:rsidRDefault="00186D2E">
            <w:r w:rsidRPr="00186D2E">
              <w:t>ECTS</w:t>
            </w:r>
          </w:p>
        </w:tc>
      </w:tr>
      <w:tr w:rsidR="00E772A2" w:rsidRPr="00186D2E" w14:paraId="0589C399" w14:textId="77777777">
        <w:tc>
          <w:tcPr>
            <w:tcW w:w="5746" w:type="dxa"/>
            <w:shd w:val="clear" w:color="auto" w:fill="auto"/>
          </w:tcPr>
          <w:p w14:paraId="38CAB80F" w14:textId="77777777" w:rsidR="00E772A2" w:rsidRPr="00186D2E" w:rsidRDefault="00186D2E">
            <w:pPr>
              <w:tabs>
                <w:tab w:val="clear" w:pos="284"/>
              </w:tabs>
              <w:spacing w:line="240" w:lineRule="auto"/>
              <w:jc w:val="left"/>
            </w:pPr>
            <w:r w:rsidRPr="00186D2E">
              <w:t>The prokaryotic cell: morphology, size, chemical composition and structure</w:t>
            </w:r>
          </w:p>
          <w:p w14:paraId="5403F6AF" w14:textId="77777777" w:rsidR="00E772A2" w:rsidRPr="00186D2E" w:rsidRDefault="00186D2E">
            <w:pPr>
              <w:tabs>
                <w:tab w:val="clear" w:pos="284"/>
              </w:tabs>
              <w:spacing w:line="240" w:lineRule="auto"/>
              <w:jc w:val="left"/>
            </w:pPr>
            <w:r w:rsidRPr="00186D2E">
              <w:t>Movement of the bacterial cell</w:t>
            </w:r>
          </w:p>
          <w:p w14:paraId="371B6C3E" w14:textId="77777777" w:rsidR="00E772A2" w:rsidRPr="00186D2E" w:rsidRDefault="00186D2E">
            <w:pPr>
              <w:tabs>
                <w:tab w:val="clear" w:pos="284"/>
              </w:tabs>
              <w:spacing w:line="240" w:lineRule="auto"/>
              <w:jc w:val="left"/>
            </w:pPr>
            <w:r w:rsidRPr="00186D2E">
              <w:t>Bacterial endospores</w:t>
            </w:r>
          </w:p>
          <w:p w14:paraId="32146A1B" w14:textId="77777777" w:rsidR="00E772A2" w:rsidRPr="00186D2E" w:rsidRDefault="00186D2E">
            <w:pPr>
              <w:tabs>
                <w:tab w:val="clear" w:pos="284"/>
              </w:tabs>
              <w:spacing w:line="240" w:lineRule="auto"/>
              <w:jc w:val="left"/>
            </w:pPr>
            <w:r w:rsidRPr="00186D2E">
              <w:t>Pure culture, type strain and conservation of bacterial cells</w:t>
            </w:r>
          </w:p>
          <w:p w14:paraId="543750A5" w14:textId="77777777" w:rsidR="00E772A2" w:rsidRPr="00186D2E" w:rsidRDefault="00186D2E">
            <w:pPr>
              <w:tabs>
                <w:tab w:val="clear" w:pos="284"/>
              </w:tabs>
              <w:spacing w:line="240" w:lineRule="auto"/>
              <w:jc w:val="left"/>
            </w:pPr>
            <w:r w:rsidRPr="00186D2E">
              <w:t>International collections</w:t>
            </w:r>
          </w:p>
          <w:p w14:paraId="691DA4AD" w14:textId="77777777" w:rsidR="00E772A2" w:rsidRPr="00186D2E" w:rsidRDefault="00E772A2">
            <w:pPr>
              <w:tabs>
                <w:tab w:val="clear" w:pos="284"/>
              </w:tabs>
              <w:spacing w:line="240" w:lineRule="auto"/>
              <w:jc w:val="left"/>
            </w:pPr>
          </w:p>
        </w:tc>
        <w:tc>
          <w:tcPr>
            <w:tcW w:w="1160" w:type="dxa"/>
            <w:shd w:val="clear" w:color="auto" w:fill="auto"/>
          </w:tcPr>
          <w:p w14:paraId="31437FC7" w14:textId="77777777" w:rsidR="00E772A2" w:rsidRPr="00186D2E" w:rsidRDefault="00186D2E">
            <w:r w:rsidRPr="00186D2E">
              <w:t>1.0</w:t>
            </w:r>
          </w:p>
        </w:tc>
      </w:tr>
      <w:tr w:rsidR="00E772A2" w:rsidRPr="00186D2E" w14:paraId="7BC27E6E" w14:textId="77777777">
        <w:tc>
          <w:tcPr>
            <w:tcW w:w="5746" w:type="dxa"/>
            <w:shd w:val="clear" w:color="auto" w:fill="auto"/>
          </w:tcPr>
          <w:p w14:paraId="112170F1" w14:textId="77777777" w:rsidR="00E772A2" w:rsidRPr="00186D2E" w:rsidRDefault="00186D2E">
            <w:pPr>
              <w:jc w:val="left"/>
            </w:pPr>
            <w:r w:rsidRPr="00186D2E">
              <w:t>Bacterial nutrition: nutritional groups</w:t>
            </w:r>
          </w:p>
          <w:p w14:paraId="4AF69568" w14:textId="77777777" w:rsidR="00E772A2" w:rsidRPr="00186D2E" w:rsidRDefault="00186D2E">
            <w:pPr>
              <w:jc w:val="left"/>
            </w:pPr>
            <w:r w:rsidRPr="00186D2E">
              <w:t>Culture media</w:t>
            </w:r>
          </w:p>
          <w:p w14:paraId="70CE9809" w14:textId="77777777" w:rsidR="00E772A2" w:rsidRPr="00186D2E" w:rsidRDefault="00186D2E">
            <w:pPr>
              <w:jc w:val="left"/>
            </w:pPr>
            <w:r w:rsidRPr="00186D2E">
              <w:t>Transport systems</w:t>
            </w:r>
          </w:p>
          <w:p w14:paraId="40AB88A1" w14:textId="77777777" w:rsidR="00E772A2" w:rsidRPr="00186D2E" w:rsidRDefault="00186D2E">
            <w:pPr>
              <w:jc w:val="left"/>
            </w:pPr>
            <w:r w:rsidRPr="00186D2E">
              <w:t>Bacterial growth, duplication mathematics and counting methods</w:t>
            </w:r>
          </w:p>
          <w:p w14:paraId="0FA56FF8" w14:textId="77777777" w:rsidR="00E772A2" w:rsidRPr="00186D2E" w:rsidRDefault="00186D2E">
            <w:pPr>
              <w:jc w:val="left"/>
            </w:pPr>
            <w:r w:rsidRPr="00186D2E">
              <w:t>Energy metabolism or catabolism</w:t>
            </w:r>
          </w:p>
          <w:p w14:paraId="58C52AA6" w14:textId="77777777" w:rsidR="00E772A2" w:rsidRPr="00186D2E" w:rsidRDefault="00186D2E">
            <w:pPr>
              <w:jc w:val="left"/>
            </w:pPr>
            <w:r w:rsidRPr="00186D2E">
              <w:t>Biosynthetic metabolism or anabolism.</w:t>
            </w:r>
          </w:p>
          <w:p w14:paraId="1F020CEE" w14:textId="77777777" w:rsidR="00E772A2" w:rsidRPr="00186D2E" w:rsidRDefault="00E772A2">
            <w:pPr>
              <w:jc w:val="left"/>
            </w:pPr>
          </w:p>
        </w:tc>
        <w:tc>
          <w:tcPr>
            <w:tcW w:w="1160" w:type="dxa"/>
            <w:shd w:val="clear" w:color="auto" w:fill="auto"/>
          </w:tcPr>
          <w:p w14:paraId="2CB6CC25" w14:textId="77777777" w:rsidR="00E772A2" w:rsidRPr="00186D2E" w:rsidRDefault="00186D2E">
            <w:r w:rsidRPr="00186D2E">
              <w:t>1.0</w:t>
            </w:r>
          </w:p>
        </w:tc>
      </w:tr>
      <w:tr w:rsidR="00E772A2" w:rsidRPr="00186D2E" w14:paraId="7CDBF054" w14:textId="77777777">
        <w:tc>
          <w:tcPr>
            <w:tcW w:w="5746" w:type="dxa"/>
            <w:shd w:val="clear" w:color="auto" w:fill="auto"/>
          </w:tcPr>
          <w:p w14:paraId="6F793DBD" w14:textId="77777777" w:rsidR="00E772A2" w:rsidRPr="00186D2E" w:rsidRDefault="00186D2E">
            <w:pPr>
              <w:jc w:val="left"/>
            </w:pPr>
            <w:r w:rsidRPr="00186D2E">
              <w:t>The genetics of prokaryotes</w:t>
            </w:r>
          </w:p>
          <w:p w14:paraId="19427E90" w14:textId="77777777" w:rsidR="00E772A2" w:rsidRPr="00186D2E" w:rsidRDefault="00186D2E">
            <w:pPr>
              <w:jc w:val="left"/>
            </w:pPr>
            <w:r w:rsidRPr="00186D2E">
              <w:t>Chromosome organisation</w:t>
            </w:r>
          </w:p>
          <w:p w14:paraId="26FE1A61" w14:textId="77777777" w:rsidR="00E772A2" w:rsidRPr="00186D2E" w:rsidRDefault="00186D2E">
            <w:pPr>
              <w:jc w:val="left"/>
            </w:pPr>
            <w:r w:rsidRPr="00186D2E">
              <w:t>Plasmids</w:t>
            </w:r>
          </w:p>
          <w:p w14:paraId="7D46BA53" w14:textId="77777777" w:rsidR="00E772A2" w:rsidRPr="00186D2E" w:rsidRDefault="00186D2E">
            <w:pPr>
              <w:jc w:val="left"/>
            </w:pPr>
            <w:r w:rsidRPr="00186D2E">
              <w:lastRenderedPageBreak/>
              <w:t>Insertion sequences and transposons</w:t>
            </w:r>
          </w:p>
          <w:p w14:paraId="1D67001C" w14:textId="77777777" w:rsidR="00E772A2" w:rsidRPr="00186D2E" w:rsidRDefault="00186D2E">
            <w:pPr>
              <w:jc w:val="left"/>
            </w:pPr>
            <w:r w:rsidRPr="00186D2E">
              <w:t>Bacteriophages and phage-resistance</w:t>
            </w:r>
          </w:p>
          <w:p w14:paraId="137BF2B0" w14:textId="77777777" w:rsidR="00E772A2" w:rsidRPr="00186D2E" w:rsidRDefault="00186D2E">
            <w:pPr>
              <w:jc w:val="left"/>
            </w:pPr>
            <w:r w:rsidRPr="00186D2E">
              <w:t>Horizontal genetic transfer systems: transformation, conjugation, translation</w:t>
            </w:r>
          </w:p>
          <w:p w14:paraId="151A0C7A" w14:textId="77777777" w:rsidR="00E772A2" w:rsidRPr="00186D2E" w:rsidRDefault="00186D2E">
            <w:pPr>
              <w:jc w:val="left"/>
            </w:pPr>
            <w:r w:rsidRPr="00186D2E">
              <w:t>Organisation of the prokaryotic gene</w:t>
            </w:r>
          </w:p>
          <w:p w14:paraId="235D6330" w14:textId="77777777" w:rsidR="00E772A2" w:rsidRPr="00186D2E" w:rsidRDefault="00186D2E">
            <w:pPr>
              <w:jc w:val="left"/>
            </w:pPr>
            <w:r w:rsidRPr="00186D2E">
              <w:t>Notes on gene regulation</w:t>
            </w:r>
          </w:p>
          <w:p w14:paraId="50B2EB1F" w14:textId="77777777" w:rsidR="00E772A2" w:rsidRPr="00186D2E" w:rsidRDefault="00186D2E">
            <w:pPr>
              <w:jc w:val="left"/>
            </w:pPr>
            <w:r w:rsidRPr="00186D2E">
              <w:t>Mutations, the Ames test and mutagenicity</w:t>
            </w:r>
          </w:p>
          <w:p w14:paraId="7AF2F76C" w14:textId="77777777" w:rsidR="00E772A2" w:rsidRPr="00186D2E" w:rsidRDefault="00E772A2">
            <w:pPr>
              <w:jc w:val="left"/>
            </w:pPr>
          </w:p>
        </w:tc>
        <w:tc>
          <w:tcPr>
            <w:tcW w:w="1160" w:type="dxa"/>
            <w:shd w:val="clear" w:color="auto" w:fill="auto"/>
          </w:tcPr>
          <w:p w14:paraId="560AF167" w14:textId="77777777" w:rsidR="00E772A2" w:rsidRPr="00186D2E" w:rsidRDefault="00186D2E">
            <w:r w:rsidRPr="00186D2E">
              <w:lastRenderedPageBreak/>
              <w:t>1.0</w:t>
            </w:r>
          </w:p>
        </w:tc>
      </w:tr>
      <w:tr w:rsidR="00E772A2" w:rsidRPr="00186D2E" w14:paraId="1EE59BA5" w14:textId="77777777">
        <w:tc>
          <w:tcPr>
            <w:tcW w:w="5746" w:type="dxa"/>
            <w:shd w:val="clear" w:color="auto" w:fill="auto"/>
          </w:tcPr>
          <w:p w14:paraId="1C9FC6A5" w14:textId="77777777" w:rsidR="00E772A2" w:rsidRPr="00186D2E" w:rsidRDefault="00186D2E">
            <w:pPr>
              <w:tabs>
                <w:tab w:val="clear" w:pos="284"/>
              </w:tabs>
              <w:spacing w:line="240" w:lineRule="auto"/>
              <w:jc w:val="left"/>
            </w:pPr>
            <w:r w:rsidRPr="00186D2E">
              <w:t>Classical or phenotypic taxonomy</w:t>
            </w:r>
          </w:p>
          <w:p w14:paraId="389472CC" w14:textId="77777777" w:rsidR="00E772A2" w:rsidRPr="00186D2E" w:rsidRDefault="00186D2E">
            <w:pPr>
              <w:tabs>
                <w:tab w:val="clear" w:pos="284"/>
              </w:tabs>
              <w:spacing w:line="240" w:lineRule="auto"/>
              <w:jc w:val="left"/>
            </w:pPr>
            <w:r w:rsidRPr="00186D2E">
              <w:t>Taxonomy and phylogenesis</w:t>
            </w:r>
          </w:p>
          <w:p w14:paraId="3204C132" w14:textId="77777777" w:rsidR="00E772A2" w:rsidRPr="00186D2E" w:rsidRDefault="00186D2E">
            <w:pPr>
              <w:tabs>
                <w:tab w:val="clear" w:pos="284"/>
              </w:tabs>
              <w:spacing w:line="240" w:lineRule="auto"/>
              <w:jc w:val="left"/>
            </w:pPr>
            <w:r w:rsidRPr="00186D2E">
              <w:t>Genotypic methods for classification</w:t>
            </w:r>
          </w:p>
          <w:p w14:paraId="7B7460C5" w14:textId="77777777" w:rsidR="00E772A2" w:rsidRPr="00186D2E" w:rsidRDefault="00186D2E">
            <w:pPr>
              <w:tabs>
                <w:tab w:val="clear" w:pos="284"/>
              </w:tabs>
              <w:spacing w:line="240" w:lineRule="auto"/>
              <w:jc w:val="left"/>
            </w:pPr>
            <w:proofErr w:type="spellStart"/>
            <w:r w:rsidRPr="00186D2E">
              <w:t>Bergey's</w:t>
            </w:r>
            <w:proofErr w:type="spellEnd"/>
            <w:r w:rsidRPr="00186D2E">
              <w:t xml:space="preserve"> Manual and bacterial systematics</w:t>
            </w:r>
          </w:p>
          <w:p w14:paraId="3AB15BF4" w14:textId="77777777" w:rsidR="00E772A2" w:rsidRPr="00186D2E" w:rsidRDefault="00186D2E">
            <w:pPr>
              <w:tabs>
                <w:tab w:val="clear" w:pos="284"/>
              </w:tabs>
              <w:spacing w:line="240" w:lineRule="auto"/>
              <w:jc w:val="left"/>
            </w:pPr>
            <w:r w:rsidRPr="00186D2E">
              <w:t>Phylogenetic classification</w:t>
            </w:r>
          </w:p>
          <w:p w14:paraId="4121792E" w14:textId="77777777" w:rsidR="00E772A2" w:rsidRPr="00186D2E" w:rsidRDefault="00186D2E">
            <w:pPr>
              <w:tabs>
                <w:tab w:val="clear" w:pos="284"/>
              </w:tabs>
              <w:spacing w:line="240" w:lineRule="auto"/>
              <w:jc w:val="left"/>
            </w:pPr>
            <w:r w:rsidRPr="00186D2E">
              <w:t>Bacterial identification methods</w:t>
            </w:r>
          </w:p>
          <w:p w14:paraId="3C32B5E0" w14:textId="77777777" w:rsidR="00E772A2" w:rsidRPr="00186D2E" w:rsidRDefault="00186D2E">
            <w:pPr>
              <w:tabs>
                <w:tab w:val="clear" w:pos="284"/>
              </w:tabs>
              <w:spacing w:line="240" w:lineRule="auto"/>
              <w:jc w:val="left"/>
            </w:pPr>
            <w:r w:rsidRPr="00186D2E">
              <w:t>A few microbial groups</w:t>
            </w:r>
          </w:p>
          <w:p w14:paraId="007815E4" w14:textId="77777777" w:rsidR="00E772A2" w:rsidRPr="00186D2E" w:rsidRDefault="00E772A2">
            <w:pPr>
              <w:tabs>
                <w:tab w:val="clear" w:pos="284"/>
              </w:tabs>
              <w:spacing w:line="240" w:lineRule="auto"/>
              <w:jc w:val="left"/>
            </w:pPr>
          </w:p>
        </w:tc>
        <w:tc>
          <w:tcPr>
            <w:tcW w:w="1160" w:type="dxa"/>
            <w:shd w:val="clear" w:color="auto" w:fill="auto"/>
          </w:tcPr>
          <w:p w14:paraId="19EC7232" w14:textId="77777777" w:rsidR="00E772A2" w:rsidRPr="00186D2E" w:rsidRDefault="00186D2E">
            <w:r w:rsidRPr="00186D2E">
              <w:t>1.0</w:t>
            </w:r>
          </w:p>
        </w:tc>
      </w:tr>
      <w:tr w:rsidR="00E772A2" w:rsidRPr="00186D2E" w14:paraId="2AA7D1A9" w14:textId="77777777">
        <w:tc>
          <w:tcPr>
            <w:tcW w:w="5746" w:type="dxa"/>
            <w:shd w:val="clear" w:color="auto" w:fill="auto"/>
          </w:tcPr>
          <w:p w14:paraId="6990BFC0" w14:textId="77777777" w:rsidR="00E772A2" w:rsidRPr="00186D2E" w:rsidRDefault="00186D2E">
            <w:pPr>
              <w:jc w:val="left"/>
            </w:pPr>
            <w:r w:rsidRPr="00186D2E">
              <w:t>The antimicrobial struggle: principles and mathematics of cellular inactivation</w:t>
            </w:r>
          </w:p>
          <w:p w14:paraId="711910C9" w14:textId="77777777" w:rsidR="00E772A2" w:rsidRPr="00186D2E" w:rsidRDefault="00186D2E">
            <w:pPr>
              <w:jc w:val="left"/>
            </w:pPr>
            <w:r w:rsidRPr="00186D2E">
              <w:t>Physical, chemical and pharmacological agents</w:t>
            </w:r>
          </w:p>
          <w:p w14:paraId="69A5E40E" w14:textId="77777777" w:rsidR="00E772A2" w:rsidRPr="00186D2E" w:rsidRDefault="00186D2E">
            <w:pPr>
              <w:jc w:val="left"/>
            </w:pPr>
            <w:r w:rsidRPr="00186D2E">
              <w:t>Chemical methods</w:t>
            </w:r>
          </w:p>
          <w:p w14:paraId="1C2AE2CD" w14:textId="77777777" w:rsidR="00E772A2" w:rsidRPr="00186D2E" w:rsidRDefault="00186D2E">
            <w:pPr>
              <w:jc w:val="left"/>
            </w:pPr>
            <w:r w:rsidRPr="00186D2E">
              <w:t>Antibiotic resistance</w:t>
            </w:r>
          </w:p>
          <w:p w14:paraId="344B93A9" w14:textId="77777777" w:rsidR="00E772A2" w:rsidRPr="00186D2E" w:rsidRDefault="00E772A2">
            <w:pPr>
              <w:jc w:val="left"/>
            </w:pPr>
          </w:p>
        </w:tc>
        <w:tc>
          <w:tcPr>
            <w:tcW w:w="1160" w:type="dxa"/>
            <w:shd w:val="clear" w:color="auto" w:fill="auto"/>
          </w:tcPr>
          <w:p w14:paraId="526C9548" w14:textId="77777777" w:rsidR="00E772A2" w:rsidRPr="00186D2E" w:rsidRDefault="00186D2E">
            <w:r w:rsidRPr="00186D2E">
              <w:t>1.0</w:t>
            </w:r>
          </w:p>
        </w:tc>
      </w:tr>
      <w:tr w:rsidR="00E772A2" w:rsidRPr="00186D2E" w14:paraId="35A1E1EA" w14:textId="77777777">
        <w:tc>
          <w:tcPr>
            <w:tcW w:w="5746" w:type="dxa"/>
            <w:shd w:val="clear" w:color="auto" w:fill="auto"/>
          </w:tcPr>
          <w:p w14:paraId="03230675" w14:textId="77777777" w:rsidR="00E772A2" w:rsidRPr="00186D2E" w:rsidRDefault="00186D2E">
            <w:pPr>
              <w:jc w:val="left"/>
            </w:pPr>
            <w:r w:rsidRPr="00186D2E">
              <w:t>Taxonomy of fungi, with particular attention to yeasts</w:t>
            </w:r>
          </w:p>
          <w:p w14:paraId="71BB639C" w14:textId="77777777" w:rsidR="00E772A2" w:rsidRPr="00186D2E" w:rsidRDefault="00186D2E">
            <w:pPr>
              <w:jc w:val="left"/>
            </w:pPr>
            <w:r w:rsidRPr="00186D2E">
              <w:t>The genetics of yeasts</w:t>
            </w:r>
          </w:p>
          <w:p w14:paraId="3CE93EDA" w14:textId="77777777" w:rsidR="00E772A2" w:rsidRPr="00186D2E" w:rsidRDefault="00186D2E">
            <w:pPr>
              <w:jc w:val="left"/>
            </w:pPr>
            <w:r w:rsidRPr="00186D2E">
              <w:t>Sexual reproduction and ecology of fungi</w:t>
            </w:r>
          </w:p>
          <w:p w14:paraId="5B1D003E" w14:textId="77777777" w:rsidR="00E772A2" w:rsidRPr="00186D2E" w:rsidRDefault="00186D2E">
            <w:pPr>
              <w:jc w:val="left"/>
            </w:pPr>
            <w:r w:rsidRPr="00186D2E">
              <w:t>Fungi of agro-food and environmental interest</w:t>
            </w:r>
          </w:p>
          <w:p w14:paraId="029F3C92" w14:textId="77777777" w:rsidR="00E772A2" w:rsidRPr="00186D2E" w:rsidRDefault="00186D2E">
            <w:pPr>
              <w:jc w:val="left"/>
            </w:pPr>
            <w:r w:rsidRPr="00186D2E">
              <w:t>Antifungals</w:t>
            </w:r>
          </w:p>
          <w:p w14:paraId="31E34BB0" w14:textId="77777777" w:rsidR="00E772A2" w:rsidRPr="00186D2E" w:rsidRDefault="00E772A2">
            <w:pPr>
              <w:jc w:val="left"/>
            </w:pPr>
          </w:p>
        </w:tc>
        <w:tc>
          <w:tcPr>
            <w:tcW w:w="1160" w:type="dxa"/>
            <w:shd w:val="clear" w:color="auto" w:fill="auto"/>
          </w:tcPr>
          <w:p w14:paraId="77DB5D94" w14:textId="77777777" w:rsidR="00E772A2" w:rsidRPr="00186D2E" w:rsidRDefault="00186D2E">
            <w:r w:rsidRPr="00186D2E">
              <w:t>1.0</w:t>
            </w:r>
          </w:p>
        </w:tc>
      </w:tr>
      <w:tr w:rsidR="00E772A2" w:rsidRPr="00186D2E" w14:paraId="7BEDDCF0" w14:textId="77777777">
        <w:tc>
          <w:tcPr>
            <w:tcW w:w="5746" w:type="dxa"/>
            <w:shd w:val="clear" w:color="auto" w:fill="auto"/>
          </w:tcPr>
          <w:p w14:paraId="1E649E42" w14:textId="77777777" w:rsidR="00E772A2" w:rsidRPr="00186D2E" w:rsidRDefault="00186D2E">
            <w:pPr>
              <w:jc w:val="left"/>
            </w:pPr>
            <w:r w:rsidRPr="00186D2E">
              <w:t xml:space="preserve">Elements of microbiological ecology and food microbiology </w:t>
            </w:r>
          </w:p>
          <w:p w14:paraId="1518120F" w14:textId="77777777" w:rsidR="00E772A2" w:rsidRPr="00186D2E" w:rsidRDefault="00186D2E">
            <w:pPr>
              <w:jc w:val="left"/>
            </w:pPr>
            <w:r w:rsidRPr="00186D2E">
              <w:t>Association of microorganisms and biofilms</w:t>
            </w:r>
          </w:p>
          <w:p w14:paraId="5779993F" w14:textId="77777777" w:rsidR="00E772A2" w:rsidRPr="00186D2E" w:rsidRDefault="00186D2E">
            <w:pPr>
              <w:jc w:val="left"/>
            </w:pPr>
            <w:r w:rsidRPr="00186D2E">
              <w:t>Microbial ecology of food</w:t>
            </w:r>
          </w:p>
          <w:p w14:paraId="6EF8F0E2" w14:textId="77777777" w:rsidR="00E772A2" w:rsidRPr="00186D2E" w:rsidRDefault="00186D2E">
            <w:pPr>
              <w:jc w:val="left"/>
            </w:pPr>
            <w:r w:rsidRPr="00186D2E">
              <w:t>Role of microorganisms in plant production</w:t>
            </w:r>
          </w:p>
          <w:p w14:paraId="5F3DF6A0" w14:textId="77777777" w:rsidR="00E772A2" w:rsidRPr="00186D2E" w:rsidRDefault="00186D2E">
            <w:pPr>
              <w:jc w:val="left"/>
            </w:pPr>
            <w:r w:rsidRPr="00186D2E">
              <w:t>Microbial production of bioenergy and biopolymers</w:t>
            </w:r>
          </w:p>
          <w:p w14:paraId="672B40F3" w14:textId="77777777" w:rsidR="00E772A2" w:rsidRPr="00186D2E" w:rsidRDefault="00E772A2">
            <w:pPr>
              <w:jc w:val="left"/>
            </w:pPr>
          </w:p>
        </w:tc>
        <w:tc>
          <w:tcPr>
            <w:tcW w:w="1160" w:type="dxa"/>
            <w:shd w:val="clear" w:color="auto" w:fill="auto"/>
          </w:tcPr>
          <w:p w14:paraId="0167888B" w14:textId="77777777" w:rsidR="00E772A2" w:rsidRPr="00186D2E" w:rsidRDefault="00186D2E">
            <w:r w:rsidRPr="00186D2E">
              <w:t>1.0</w:t>
            </w:r>
          </w:p>
        </w:tc>
      </w:tr>
      <w:tr w:rsidR="00E772A2" w:rsidRPr="00186D2E" w14:paraId="1F8B4B4B" w14:textId="77777777">
        <w:tc>
          <w:tcPr>
            <w:tcW w:w="5746" w:type="dxa"/>
            <w:shd w:val="clear" w:color="auto" w:fill="auto"/>
          </w:tcPr>
          <w:p w14:paraId="6F41D5FA" w14:textId="77777777" w:rsidR="00E772A2" w:rsidRPr="00186D2E" w:rsidRDefault="00186D2E">
            <w:r w:rsidRPr="00186D2E">
              <w:rPr>
                <w:smallCaps/>
                <w:sz w:val="18"/>
              </w:rPr>
              <w:t xml:space="preserve">Tutorials. </w:t>
            </w:r>
            <w:r w:rsidRPr="00186D2E">
              <w:t>Classical microbiology techniques applied to the study of food: sterility, isolation, counts, microscope observations, estimation of the most probable number, indole test, Gram staining</w:t>
            </w:r>
          </w:p>
          <w:p w14:paraId="4BBAC7B0" w14:textId="77777777" w:rsidR="00E772A2" w:rsidRPr="00186D2E" w:rsidRDefault="00E772A2"/>
        </w:tc>
        <w:tc>
          <w:tcPr>
            <w:tcW w:w="1160" w:type="dxa"/>
            <w:shd w:val="clear" w:color="auto" w:fill="auto"/>
          </w:tcPr>
          <w:p w14:paraId="578B8C1E" w14:textId="77777777" w:rsidR="00E772A2" w:rsidRPr="00186D2E" w:rsidRDefault="00186D2E">
            <w:r w:rsidRPr="00186D2E">
              <w:t>1.0</w:t>
            </w:r>
          </w:p>
        </w:tc>
      </w:tr>
    </w:tbl>
    <w:p w14:paraId="3DD44168" w14:textId="77777777" w:rsidR="00E772A2" w:rsidRPr="00186D2E" w:rsidRDefault="00186D2E">
      <w:pPr>
        <w:keepNext/>
        <w:spacing w:before="240" w:after="120" w:line="240" w:lineRule="auto"/>
        <w:rPr>
          <w:b/>
          <w:i/>
          <w:sz w:val="18"/>
        </w:rPr>
      </w:pPr>
      <w:r w:rsidRPr="00186D2E">
        <w:rPr>
          <w:b/>
          <w:i/>
          <w:sz w:val="18"/>
        </w:rPr>
        <w:lastRenderedPageBreak/>
        <w:t>READING LIST</w:t>
      </w:r>
    </w:p>
    <w:p w14:paraId="12DDFF5C" w14:textId="77777777" w:rsidR="00E772A2" w:rsidRPr="00E40EFD" w:rsidRDefault="00186D2E">
      <w:pPr>
        <w:pStyle w:val="Testo1"/>
        <w:spacing w:line="240" w:lineRule="atLeast"/>
        <w:rPr>
          <w:noProof w:val="0"/>
          <w:sz w:val="16"/>
          <w:lang w:val="it-IT"/>
        </w:rPr>
      </w:pPr>
      <w:r w:rsidRPr="00E40EFD">
        <w:rPr>
          <w:smallCaps/>
          <w:noProof w:val="0"/>
          <w:sz w:val="16"/>
          <w:lang w:val="it-IT"/>
        </w:rPr>
        <w:t>B. Biavati-C. Sorlini,</w:t>
      </w:r>
      <w:r w:rsidRPr="00E40EFD">
        <w:rPr>
          <w:i/>
          <w:noProof w:val="0"/>
          <w:sz w:val="16"/>
          <w:lang w:val="it-IT"/>
        </w:rPr>
        <w:t xml:space="preserve"> Microbiologia generale e agraria,</w:t>
      </w:r>
      <w:r w:rsidRPr="00E40EFD">
        <w:rPr>
          <w:noProof w:val="0"/>
          <w:sz w:val="16"/>
          <w:lang w:val="it-IT"/>
        </w:rPr>
        <w:t xml:space="preserve"> 2nd edition, Casa Editrice Ambrosiana, 2012.</w:t>
      </w:r>
      <w:r w:rsidRPr="00E40EFD">
        <w:rPr>
          <w:noProof w:val="0"/>
          <w:lang w:val="it-IT"/>
        </w:rPr>
        <w:t xml:space="preserve"> </w:t>
      </w:r>
    </w:p>
    <w:p w14:paraId="5C6FA211" w14:textId="77777777" w:rsidR="00E772A2" w:rsidRPr="00E40EFD" w:rsidRDefault="00186D2E">
      <w:pPr>
        <w:pStyle w:val="Testo1"/>
        <w:spacing w:line="240" w:lineRule="atLeast"/>
        <w:rPr>
          <w:noProof w:val="0"/>
          <w:sz w:val="16"/>
          <w:lang w:val="it-IT"/>
        </w:rPr>
      </w:pPr>
      <w:r w:rsidRPr="00E40EFD">
        <w:rPr>
          <w:smallCaps/>
          <w:noProof w:val="0"/>
          <w:sz w:val="16"/>
          <w:lang w:val="it-IT"/>
        </w:rPr>
        <w:t xml:space="preserve">G. </w:t>
      </w:r>
      <w:proofErr w:type="spellStart"/>
      <w:r w:rsidRPr="00E40EFD">
        <w:rPr>
          <w:smallCaps/>
          <w:noProof w:val="0"/>
          <w:sz w:val="16"/>
          <w:lang w:val="it-IT"/>
        </w:rPr>
        <w:t>Dehò</w:t>
      </w:r>
      <w:proofErr w:type="spellEnd"/>
      <w:r w:rsidRPr="00E40EFD">
        <w:rPr>
          <w:smallCaps/>
          <w:noProof w:val="0"/>
          <w:sz w:val="16"/>
          <w:lang w:val="it-IT"/>
        </w:rPr>
        <w:t>'-E. Galli</w:t>
      </w:r>
      <w:r w:rsidRPr="00E40EFD">
        <w:rPr>
          <w:noProof w:val="0"/>
          <w:sz w:val="16"/>
          <w:lang w:val="it-IT"/>
        </w:rPr>
        <w:t xml:space="preserve">, </w:t>
      </w:r>
      <w:r w:rsidRPr="00E40EFD">
        <w:rPr>
          <w:i/>
          <w:noProof w:val="0"/>
          <w:sz w:val="16"/>
          <w:lang w:val="it-IT"/>
        </w:rPr>
        <w:t>Biologia dei microrganismi</w:t>
      </w:r>
      <w:r w:rsidRPr="00E40EFD">
        <w:rPr>
          <w:noProof w:val="0"/>
          <w:sz w:val="16"/>
          <w:lang w:val="it-IT"/>
        </w:rPr>
        <w:t>, Casa Editrice Ambrosiana, 2014.</w:t>
      </w:r>
      <w:r w:rsidRPr="00E40EFD">
        <w:rPr>
          <w:noProof w:val="0"/>
          <w:lang w:val="it-IT"/>
        </w:rPr>
        <w:t xml:space="preserve"> </w:t>
      </w:r>
    </w:p>
    <w:p w14:paraId="41A93ED1" w14:textId="77777777" w:rsidR="00E772A2" w:rsidRPr="00186D2E" w:rsidRDefault="00186D2E">
      <w:pPr>
        <w:pStyle w:val="Testo1"/>
        <w:spacing w:line="240" w:lineRule="atLeast"/>
        <w:rPr>
          <w:noProof w:val="0"/>
          <w:sz w:val="16"/>
        </w:rPr>
      </w:pPr>
      <w:r w:rsidRPr="00186D2E">
        <w:rPr>
          <w:smallCaps/>
          <w:noProof w:val="0"/>
          <w:sz w:val="16"/>
        </w:rPr>
        <w:t xml:space="preserve">M.T. Madigan-J.M. </w:t>
      </w:r>
      <w:proofErr w:type="spellStart"/>
      <w:r w:rsidRPr="00186D2E">
        <w:rPr>
          <w:smallCaps/>
          <w:noProof w:val="0"/>
          <w:sz w:val="16"/>
        </w:rPr>
        <w:t>Martinko</w:t>
      </w:r>
      <w:proofErr w:type="spellEnd"/>
      <w:r w:rsidRPr="00186D2E">
        <w:rPr>
          <w:smallCaps/>
          <w:noProof w:val="0"/>
          <w:sz w:val="16"/>
        </w:rPr>
        <w:t>-D.A. Stahl- K.S. Bender- D.H. Buckley</w:t>
      </w:r>
      <w:r w:rsidRPr="00186D2E">
        <w:rPr>
          <w:noProof w:val="0"/>
          <w:sz w:val="16"/>
        </w:rPr>
        <w:t xml:space="preserve">, </w:t>
      </w:r>
      <w:r w:rsidRPr="00186D2E">
        <w:rPr>
          <w:i/>
          <w:iCs/>
          <w:noProof w:val="0"/>
          <w:sz w:val="16"/>
        </w:rPr>
        <w:t xml:space="preserve">Brock. </w:t>
      </w:r>
      <w:proofErr w:type="spellStart"/>
      <w:r w:rsidRPr="00186D2E">
        <w:rPr>
          <w:i/>
          <w:iCs/>
          <w:noProof w:val="0"/>
          <w:sz w:val="16"/>
        </w:rPr>
        <w:t>Biologia</w:t>
      </w:r>
      <w:proofErr w:type="spellEnd"/>
      <w:r w:rsidRPr="00186D2E">
        <w:rPr>
          <w:i/>
          <w:iCs/>
          <w:noProof w:val="0"/>
          <w:sz w:val="16"/>
        </w:rPr>
        <w:t xml:space="preserve"> </w:t>
      </w:r>
      <w:proofErr w:type="spellStart"/>
      <w:r w:rsidRPr="00186D2E">
        <w:rPr>
          <w:i/>
          <w:iCs/>
          <w:noProof w:val="0"/>
          <w:sz w:val="16"/>
        </w:rPr>
        <w:t>dei</w:t>
      </w:r>
      <w:proofErr w:type="spellEnd"/>
      <w:r w:rsidRPr="00186D2E">
        <w:rPr>
          <w:i/>
          <w:iCs/>
          <w:noProof w:val="0"/>
          <w:sz w:val="16"/>
        </w:rPr>
        <w:t xml:space="preserve"> </w:t>
      </w:r>
      <w:proofErr w:type="spellStart"/>
      <w:r w:rsidRPr="00186D2E">
        <w:rPr>
          <w:i/>
          <w:iCs/>
          <w:noProof w:val="0"/>
          <w:sz w:val="16"/>
        </w:rPr>
        <w:t>microrganismi</w:t>
      </w:r>
      <w:proofErr w:type="spellEnd"/>
      <w:r w:rsidRPr="00186D2E">
        <w:rPr>
          <w:i/>
          <w:iCs/>
          <w:noProof w:val="0"/>
          <w:sz w:val="16"/>
        </w:rPr>
        <w:t xml:space="preserve">, </w:t>
      </w:r>
      <w:r w:rsidRPr="00186D2E">
        <w:rPr>
          <w:noProof w:val="0"/>
          <w:sz w:val="16"/>
        </w:rPr>
        <w:t>Pearson, 2016.</w:t>
      </w:r>
    </w:p>
    <w:p w14:paraId="14DBAD32" w14:textId="77777777" w:rsidR="00E772A2" w:rsidRPr="00186D2E" w:rsidRDefault="00186D2E">
      <w:pPr>
        <w:spacing w:before="240" w:after="120" w:line="240" w:lineRule="auto"/>
        <w:rPr>
          <w:b/>
          <w:i/>
          <w:sz w:val="18"/>
        </w:rPr>
      </w:pPr>
      <w:r w:rsidRPr="00186D2E">
        <w:rPr>
          <w:b/>
          <w:i/>
          <w:sz w:val="18"/>
        </w:rPr>
        <w:t>TEACHING METHOD</w:t>
      </w:r>
    </w:p>
    <w:p w14:paraId="4A9025C3" w14:textId="77777777" w:rsidR="00E772A2" w:rsidRPr="00186D2E" w:rsidRDefault="00186D2E">
      <w:pPr>
        <w:pStyle w:val="Testo2"/>
        <w:numPr>
          <w:ilvl w:val="0"/>
          <w:numId w:val="1"/>
        </w:numPr>
        <w:rPr>
          <w:noProof w:val="0"/>
        </w:rPr>
      </w:pPr>
      <w:r w:rsidRPr="00186D2E">
        <w:rPr>
          <w:noProof w:val="0"/>
        </w:rPr>
        <w:t xml:space="preserve">Theoretical frontal lectures in which the main topics of the course </w:t>
      </w:r>
      <w:proofErr w:type="gramStart"/>
      <w:r w:rsidRPr="00186D2E">
        <w:rPr>
          <w:noProof w:val="0"/>
        </w:rPr>
        <w:t>will be addressed</w:t>
      </w:r>
      <w:proofErr w:type="gramEnd"/>
      <w:r w:rsidRPr="00186D2E">
        <w:rPr>
          <w:noProof w:val="0"/>
        </w:rPr>
        <w:t>, with the support of PowerPoint presentations.</w:t>
      </w:r>
    </w:p>
    <w:p w14:paraId="17059870" w14:textId="77777777" w:rsidR="00E772A2" w:rsidRPr="00186D2E" w:rsidRDefault="00186D2E">
      <w:pPr>
        <w:pStyle w:val="Testo2"/>
        <w:numPr>
          <w:ilvl w:val="0"/>
          <w:numId w:val="1"/>
        </w:numPr>
        <w:rPr>
          <w:noProof w:val="0"/>
        </w:rPr>
      </w:pPr>
      <w:r w:rsidRPr="00186D2E">
        <w:rPr>
          <w:noProof w:val="0"/>
        </w:rPr>
        <w:t>Laboratory tutorials on the application of classical microbiology techniques to food analysis.</w:t>
      </w:r>
    </w:p>
    <w:p w14:paraId="4CB5B80F" w14:textId="77777777" w:rsidR="00E772A2" w:rsidRPr="00186D2E" w:rsidRDefault="00186D2E">
      <w:pPr>
        <w:spacing w:before="240" w:after="120" w:line="240" w:lineRule="auto"/>
        <w:rPr>
          <w:b/>
          <w:i/>
          <w:sz w:val="18"/>
        </w:rPr>
      </w:pPr>
      <w:r w:rsidRPr="00186D2E">
        <w:rPr>
          <w:b/>
          <w:i/>
          <w:sz w:val="18"/>
        </w:rPr>
        <w:t>ASSESSMENT METHOD AND CRITERIA</w:t>
      </w:r>
    </w:p>
    <w:p w14:paraId="7262FA34" w14:textId="77777777" w:rsidR="00E772A2" w:rsidRPr="00186D2E" w:rsidRDefault="00186D2E">
      <w:pPr>
        <w:spacing w:line="240" w:lineRule="auto"/>
        <w:rPr>
          <w:sz w:val="18"/>
        </w:rPr>
      </w:pPr>
      <w:r w:rsidRPr="00186D2E">
        <w:rPr>
          <w:sz w:val="18"/>
        </w:rPr>
        <w:tab/>
        <w:t xml:space="preserve">An interim test </w:t>
      </w:r>
      <w:proofErr w:type="gramStart"/>
      <w:r w:rsidRPr="00186D2E">
        <w:rPr>
          <w:sz w:val="18"/>
        </w:rPr>
        <w:t>is scheduled</w:t>
      </w:r>
      <w:proofErr w:type="gramEnd"/>
      <w:r w:rsidRPr="00186D2E">
        <w:rPr>
          <w:sz w:val="18"/>
        </w:rPr>
        <w:t xml:space="preserve"> on that part of the programme covered in the first three credits of the course. This test will be written in nature and will consist of 18 </w:t>
      </w:r>
      <w:proofErr w:type="gramStart"/>
      <w:r w:rsidRPr="00186D2E">
        <w:rPr>
          <w:sz w:val="18"/>
        </w:rPr>
        <w:t>multiple choice</w:t>
      </w:r>
      <w:proofErr w:type="gramEnd"/>
      <w:r w:rsidRPr="00186D2E">
        <w:rPr>
          <w:sz w:val="18"/>
        </w:rPr>
        <w:t xml:space="preserve"> questions and six open-ended questions. The result of the interim test </w:t>
      </w:r>
      <w:proofErr w:type="gramStart"/>
      <w:r w:rsidRPr="00186D2E">
        <w:rPr>
          <w:sz w:val="18"/>
        </w:rPr>
        <w:t>will be expressed</w:t>
      </w:r>
      <w:proofErr w:type="gramEnd"/>
      <w:r w:rsidRPr="00186D2E">
        <w:rPr>
          <w:sz w:val="18"/>
        </w:rPr>
        <w:t xml:space="preserve"> out of thirty and will not bar a student from undertaking the final oral exam.</w:t>
      </w:r>
    </w:p>
    <w:p w14:paraId="5A25862A" w14:textId="77777777" w:rsidR="00E772A2" w:rsidRPr="00186D2E" w:rsidRDefault="00186D2E">
      <w:pPr>
        <w:pStyle w:val="Default"/>
        <w:ind w:firstLine="284"/>
        <w:jc w:val="both"/>
        <w:rPr>
          <w:rFonts w:ascii="Times" w:eastAsia="Times New Roman" w:hAnsi="Times"/>
          <w:color w:val="auto"/>
          <w:sz w:val="18"/>
        </w:rPr>
      </w:pPr>
      <w:r w:rsidRPr="00186D2E">
        <w:rPr>
          <w:rFonts w:ascii="Times" w:eastAsia="Times New Roman" w:hAnsi="Times"/>
          <w:color w:val="auto"/>
          <w:sz w:val="18"/>
        </w:rPr>
        <w:t xml:space="preserve">At the end of the </w:t>
      </w:r>
      <w:proofErr w:type="gramStart"/>
      <w:r w:rsidRPr="00186D2E">
        <w:rPr>
          <w:rFonts w:ascii="Times" w:eastAsia="Times New Roman" w:hAnsi="Times"/>
          <w:color w:val="auto"/>
          <w:sz w:val="18"/>
        </w:rPr>
        <w:t>course</w:t>
      </w:r>
      <w:proofErr w:type="gramEnd"/>
      <w:r w:rsidRPr="00186D2E">
        <w:rPr>
          <w:rFonts w:ascii="Times" w:eastAsia="Times New Roman" w:hAnsi="Times"/>
          <w:color w:val="auto"/>
          <w:sz w:val="18"/>
        </w:rPr>
        <w:t xml:space="preserve"> there will be a final oral exam. This will cover the last four credits of the frontal lectures for those students who have passed the written test, or all seven credits of the frontal lectures for those who have not taken or failed to reach the minimum mark of 18/30 in the interim test.</w:t>
      </w:r>
    </w:p>
    <w:p w14:paraId="3F17EA0C" w14:textId="0BC22109" w:rsidR="00E772A2" w:rsidRDefault="00186D2E">
      <w:pPr>
        <w:pStyle w:val="Default"/>
        <w:ind w:firstLine="284"/>
        <w:jc w:val="both"/>
        <w:rPr>
          <w:rFonts w:ascii="Times" w:eastAsia="Times New Roman" w:hAnsi="Times"/>
          <w:color w:val="auto"/>
          <w:sz w:val="18"/>
        </w:rPr>
      </w:pPr>
      <w:r w:rsidRPr="00186D2E">
        <w:rPr>
          <w:rFonts w:ascii="Times" w:eastAsia="Times New Roman" w:hAnsi="Times"/>
          <w:color w:val="auto"/>
          <w:sz w:val="18"/>
        </w:rPr>
        <w:t xml:space="preserve">For those students who have passed the interim test, the final mark </w:t>
      </w:r>
      <w:proofErr w:type="gramStart"/>
      <w:r w:rsidRPr="00186D2E">
        <w:rPr>
          <w:rFonts w:ascii="Times" w:eastAsia="Times New Roman" w:hAnsi="Times"/>
          <w:color w:val="auto"/>
          <w:sz w:val="18"/>
        </w:rPr>
        <w:t>will be based</w:t>
      </w:r>
      <w:proofErr w:type="gramEnd"/>
      <w:r w:rsidRPr="00186D2E">
        <w:rPr>
          <w:rFonts w:ascii="Times" w:eastAsia="Times New Roman" w:hAnsi="Times"/>
          <w:color w:val="auto"/>
          <w:sz w:val="18"/>
        </w:rPr>
        <w:t xml:space="preserve"> on the written test (40%) and the oral interview (60%).</w:t>
      </w:r>
      <w:r w:rsidR="00BA25EB">
        <w:rPr>
          <w:rFonts w:ascii="Times" w:eastAsia="Times New Roman" w:hAnsi="Times"/>
          <w:color w:val="auto"/>
          <w:sz w:val="18"/>
        </w:rPr>
        <w:t xml:space="preserve"> </w:t>
      </w:r>
      <w:r w:rsidRPr="00186D2E">
        <w:rPr>
          <w:rFonts w:ascii="Times" w:eastAsia="Times New Roman" w:hAnsi="Times"/>
          <w:color w:val="auto"/>
          <w:sz w:val="18"/>
        </w:rPr>
        <w:t>For all other students, the final assessment will comprise the single mark obtained in the oral interview.</w:t>
      </w:r>
    </w:p>
    <w:p w14:paraId="317A18BB" w14:textId="5619E95C" w:rsidR="00BA25EB" w:rsidRPr="00186D2E" w:rsidRDefault="00BA25EB">
      <w:pPr>
        <w:pStyle w:val="Default"/>
        <w:ind w:firstLine="284"/>
        <w:jc w:val="both"/>
        <w:rPr>
          <w:rFonts w:ascii="Times" w:eastAsia="Times New Roman" w:hAnsi="Times"/>
          <w:color w:val="auto"/>
          <w:sz w:val="18"/>
        </w:rPr>
      </w:pPr>
      <w:r w:rsidRPr="00BA25EB">
        <w:rPr>
          <w:rFonts w:ascii="Times" w:eastAsia="Times New Roman" w:hAnsi="Times"/>
          <w:color w:val="auto"/>
          <w:sz w:val="18"/>
        </w:rPr>
        <w:t xml:space="preserve">The exam </w:t>
      </w:r>
      <w:proofErr w:type="gramStart"/>
      <w:r>
        <w:rPr>
          <w:rFonts w:ascii="Times" w:eastAsia="Times New Roman" w:hAnsi="Times"/>
          <w:color w:val="auto"/>
          <w:sz w:val="18"/>
        </w:rPr>
        <w:t>i</w:t>
      </w:r>
      <w:r w:rsidRPr="00BA25EB">
        <w:rPr>
          <w:rFonts w:ascii="Times" w:eastAsia="Times New Roman" w:hAnsi="Times"/>
          <w:color w:val="auto"/>
          <w:sz w:val="18"/>
        </w:rPr>
        <w:t>s aimed</w:t>
      </w:r>
      <w:proofErr w:type="gramEnd"/>
      <w:r w:rsidRPr="00BA25EB">
        <w:rPr>
          <w:rFonts w:ascii="Times" w:eastAsia="Times New Roman" w:hAnsi="Times"/>
          <w:color w:val="auto"/>
          <w:sz w:val="18"/>
        </w:rPr>
        <w:t xml:space="preserve"> at ascertaining the student's level of knowledge, </w:t>
      </w:r>
      <w:r w:rsidR="006D30F9" w:rsidRPr="00BA25EB">
        <w:rPr>
          <w:rFonts w:ascii="Times" w:eastAsia="Times New Roman" w:hAnsi="Times"/>
          <w:color w:val="auto"/>
          <w:sz w:val="18"/>
        </w:rPr>
        <w:t>understanding,</w:t>
      </w:r>
      <w:r w:rsidRPr="00BA25EB">
        <w:rPr>
          <w:rFonts w:ascii="Times" w:eastAsia="Times New Roman" w:hAnsi="Times"/>
          <w:color w:val="auto"/>
          <w:sz w:val="18"/>
        </w:rPr>
        <w:t xml:space="preserve"> and linking skills regarding the topics covered. Students must demonstrate an ability </w:t>
      </w:r>
      <w:proofErr w:type="gramStart"/>
      <w:r w:rsidRPr="00BA25EB">
        <w:rPr>
          <w:rFonts w:ascii="Times" w:eastAsia="Times New Roman" w:hAnsi="Times"/>
          <w:color w:val="auto"/>
          <w:sz w:val="18"/>
        </w:rPr>
        <w:t>to correctly use</w:t>
      </w:r>
      <w:proofErr w:type="gramEnd"/>
      <w:r w:rsidRPr="00BA25EB">
        <w:rPr>
          <w:rFonts w:ascii="Times" w:eastAsia="Times New Roman" w:hAnsi="Times"/>
          <w:color w:val="auto"/>
          <w:sz w:val="18"/>
        </w:rPr>
        <w:t xml:space="preserve"> the language and scientific terminology of the discipline.</w:t>
      </w:r>
    </w:p>
    <w:p w14:paraId="137A98EB" w14:textId="77777777" w:rsidR="00E772A2" w:rsidRPr="00186D2E" w:rsidRDefault="00186D2E">
      <w:pPr>
        <w:pStyle w:val="Testo2"/>
        <w:spacing w:before="240" w:after="120" w:line="240" w:lineRule="auto"/>
        <w:ind w:firstLine="0"/>
        <w:rPr>
          <w:b/>
          <w:i/>
          <w:noProof w:val="0"/>
        </w:rPr>
      </w:pPr>
      <w:r w:rsidRPr="00186D2E">
        <w:rPr>
          <w:b/>
          <w:i/>
          <w:noProof w:val="0"/>
        </w:rPr>
        <w:t>NOTES AND PREREQUISITES</w:t>
      </w:r>
    </w:p>
    <w:p w14:paraId="61491894" w14:textId="77777777" w:rsidR="00E772A2" w:rsidRPr="00186D2E" w:rsidRDefault="00186D2E">
      <w:pPr>
        <w:pStyle w:val="Testo2"/>
        <w:rPr>
          <w:noProof w:val="0"/>
        </w:rPr>
      </w:pPr>
      <w:r w:rsidRPr="00186D2E">
        <w:rPr>
          <w:noProof w:val="0"/>
        </w:rPr>
        <w:t xml:space="preserve">During the course further reading indications and website information </w:t>
      </w:r>
      <w:proofErr w:type="gramStart"/>
      <w:r w:rsidRPr="00186D2E">
        <w:rPr>
          <w:noProof w:val="0"/>
        </w:rPr>
        <w:t>will be provided</w:t>
      </w:r>
      <w:proofErr w:type="gramEnd"/>
      <w:r w:rsidRPr="00186D2E">
        <w:rPr>
          <w:noProof w:val="0"/>
        </w:rPr>
        <w:t>.</w:t>
      </w:r>
    </w:p>
    <w:p w14:paraId="4C40E239" w14:textId="77777777" w:rsidR="00E772A2" w:rsidRPr="00186D2E" w:rsidRDefault="00186D2E">
      <w:pPr>
        <w:pStyle w:val="Testo2"/>
        <w:ind w:firstLine="0"/>
        <w:rPr>
          <w:noProof w:val="0"/>
        </w:rPr>
      </w:pPr>
      <w:r w:rsidRPr="00186D2E">
        <w:rPr>
          <w:noProof w:val="0"/>
        </w:rPr>
        <w:t xml:space="preserve">Basic knowledge of general chemistry and biology is required. </w:t>
      </w:r>
    </w:p>
    <w:p w14:paraId="00D88610" w14:textId="77777777" w:rsidR="00E772A2" w:rsidRPr="00186D2E" w:rsidRDefault="00E772A2">
      <w:pPr>
        <w:pStyle w:val="Testo2"/>
        <w:ind w:firstLine="0"/>
        <w:rPr>
          <w:noProof w:val="0"/>
        </w:rPr>
      </w:pPr>
      <w:bookmarkStart w:id="0" w:name="_GoBack"/>
      <w:bookmarkEnd w:id="0"/>
    </w:p>
    <w:p w14:paraId="0D9BCF62" w14:textId="77000E73" w:rsidR="00186D2E" w:rsidRPr="00D34D07" w:rsidRDefault="00186D2E" w:rsidP="00186D2E">
      <w:pPr>
        <w:spacing w:after="120" w:line="240" w:lineRule="auto"/>
        <w:rPr>
          <w:rFonts w:ascii="Times New Roman" w:hAnsi="Times New Roman"/>
          <w:bCs/>
          <w:iCs/>
        </w:rPr>
      </w:pPr>
      <w:r w:rsidRPr="00D34D07">
        <w:rPr>
          <w:rFonts w:ascii="Times New Roman" w:hAnsi="Times New Roman"/>
          <w:bCs/>
          <w:iCs/>
        </w:rPr>
        <w:t>Information on office hours available on the teacher's personal page at http://docenti.unicatt.it/.</w:t>
      </w:r>
    </w:p>
    <w:p w14:paraId="2D6FA597" w14:textId="77777777" w:rsidR="00E772A2" w:rsidRPr="00186D2E" w:rsidRDefault="00E772A2" w:rsidP="00186D2E">
      <w:pPr>
        <w:pStyle w:val="Testo2"/>
        <w:spacing w:before="240" w:after="120" w:line="240" w:lineRule="auto"/>
        <w:ind w:firstLine="0"/>
        <w:rPr>
          <w:noProof w:val="0"/>
        </w:rPr>
      </w:pPr>
    </w:p>
    <w:sectPr w:rsidR="00E772A2" w:rsidRPr="00186D2E">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97503"/>
    <w:multiLevelType w:val="hybridMultilevel"/>
    <w:tmpl w:val="D0B2D126"/>
    <w:lvl w:ilvl="0" w:tplc="A05C8A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A6"/>
    <w:rsid w:val="000A2418"/>
    <w:rsid w:val="00186D2E"/>
    <w:rsid w:val="00191D8F"/>
    <w:rsid w:val="001A5DCB"/>
    <w:rsid w:val="001D70A6"/>
    <w:rsid w:val="001E0498"/>
    <w:rsid w:val="0022693C"/>
    <w:rsid w:val="002369B8"/>
    <w:rsid w:val="002C0917"/>
    <w:rsid w:val="003170B0"/>
    <w:rsid w:val="00343A44"/>
    <w:rsid w:val="00363B64"/>
    <w:rsid w:val="003F4556"/>
    <w:rsid w:val="00414771"/>
    <w:rsid w:val="00450D01"/>
    <w:rsid w:val="00494863"/>
    <w:rsid w:val="004B3200"/>
    <w:rsid w:val="004B77B5"/>
    <w:rsid w:val="00567188"/>
    <w:rsid w:val="005D41A3"/>
    <w:rsid w:val="0066332F"/>
    <w:rsid w:val="00673B7D"/>
    <w:rsid w:val="0069466E"/>
    <w:rsid w:val="006A25C5"/>
    <w:rsid w:val="006C3EB3"/>
    <w:rsid w:val="006D30F9"/>
    <w:rsid w:val="007112E9"/>
    <w:rsid w:val="00717F44"/>
    <w:rsid w:val="00724B2D"/>
    <w:rsid w:val="00746071"/>
    <w:rsid w:val="00756FCB"/>
    <w:rsid w:val="0076061B"/>
    <w:rsid w:val="007649B1"/>
    <w:rsid w:val="00832506"/>
    <w:rsid w:val="00850FE3"/>
    <w:rsid w:val="008E6749"/>
    <w:rsid w:val="0093269C"/>
    <w:rsid w:val="00932F73"/>
    <w:rsid w:val="00940A92"/>
    <w:rsid w:val="0095432C"/>
    <w:rsid w:val="00973709"/>
    <w:rsid w:val="009977CF"/>
    <w:rsid w:val="00A063AF"/>
    <w:rsid w:val="00A12EE5"/>
    <w:rsid w:val="00AA5216"/>
    <w:rsid w:val="00AA6AEA"/>
    <w:rsid w:val="00AA6ECF"/>
    <w:rsid w:val="00AF4433"/>
    <w:rsid w:val="00B01F3E"/>
    <w:rsid w:val="00B1102C"/>
    <w:rsid w:val="00B6477F"/>
    <w:rsid w:val="00B67AD4"/>
    <w:rsid w:val="00B95BCA"/>
    <w:rsid w:val="00BA25EB"/>
    <w:rsid w:val="00D26EFC"/>
    <w:rsid w:val="00D421A1"/>
    <w:rsid w:val="00D431DF"/>
    <w:rsid w:val="00D51661"/>
    <w:rsid w:val="00DB737D"/>
    <w:rsid w:val="00E40EFD"/>
    <w:rsid w:val="00E71F21"/>
    <w:rsid w:val="00E772A2"/>
    <w:rsid w:val="00E82479"/>
    <w:rsid w:val="00E87F07"/>
    <w:rsid w:val="00F02761"/>
    <w:rsid w:val="00F23FAD"/>
    <w:rsid w:val="00F27C92"/>
    <w:rsid w:val="00F5422C"/>
    <w:rsid w:val="00FB1BD0"/>
    <w:rsid w:val="00FC6D80"/>
    <w:rsid w:val="00FF45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D30217"/>
  <w15:docId w15:val="{2E032CD1-6285-4B91-8501-D7BAB5CA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70A6"/>
    <w:pPr>
      <w:tabs>
        <w:tab w:val="left" w:pos="284"/>
      </w:tabs>
      <w:spacing w:line="240" w:lineRule="exact"/>
      <w:jc w:val="both"/>
    </w:pPr>
    <w:rPr>
      <w:rFonts w:ascii="Times" w:eastAsia="Times New Roman" w:hAnsi="Times"/>
    </w:rPr>
  </w:style>
  <w:style w:type="paragraph" w:styleId="Titolo1">
    <w:name w:val="heading 1"/>
    <w:next w:val="Titolo2"/>
    <w:qFormat/>
    <w:rsid w:val="001D70A6"/>
    <w:pPr>
      <w:spacing w:before="480" w:line="240" w:lineRule="exact"/>
      <w:outlineLvl w:val="0"/>
    </w:pPr>
    <w:rPr>
      <w:rFonts w:ascii="Times" w:eastAsia="Times New Roman" w:hAnsi="Times"/>
      <w:b/>
      <w:noProof/>
    </w:rPr>
  </w:style>
  <w:style w:type="paragraph" w:styleId="Titolo2">
    <w:name w:val="heading 2"/>
    <w:next w:val="Titolo3"/>
    <w:qFormat/>
    <w:rsid w:val="001D70A6"/>
    <w:pPr>
      <w:spacing w:line="240" w:lineRule="exact"/>
      <w:outlineLvl w:val="1"/>
    </w:pPr>
    <w:rPr>
      <w:rFonts w:ascii="Times" w:eastAsia="Times New Roman" w:hAnsi="Times"/>
      <w:smallCaps/>
      <w:noProof/>
      <w:sz w:val="18"/>
    </w:rPr>
  </w:style>
  <w:style w:type="paragraph" w:styleId="Titolo3">
    <w:name w:val="heading 3"/>
    <w:basedOn w:val="Normale"/>
    <w:next w:val="Normale"/>
    <w:qFormat/>
    <w:rsid w:val="001D70A6"/>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semiHidden/>
    <w:unhideWhenUsed/>
    <w:qFormat/>
    <w:rsid w:val="006C3EB3"/>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1D70A6"/>
    <w:pPr>
      <w:spacing w:line="220" w:lineRule="exact"/>
      <w:ind w:left="284" w:hanging="284"/>
      <w:jc w:val="both"/>
    </w:pPr>
    <w:rPr>
      <w:rFonts w:ascii="Times" w:eastAsia="Times New Roman" w:hAnsi="Times"/>
      <w:noProof/>
      <w:sz w:val="18"/>
    </w:rPr>
  </w:style>
  <w:style w:type="paragraph" w:customStyle="1" w:styleId="Testo2">
    <w:name w:val="Testo 2"/>
    <w:rsid w:val="001D70A6"/>
    <w:pPr>
      <w:spacing w:line="220" w:lineRule="exact"/>
      <w:ind w:firstLine="284"/>
      <w:jc w:val="both"/>
    </w:pPr>
    <w:rPr>
      <w:rFonts w:ascii="Times" w:eastAsia="Times New Roman" w:hAnsi="Times"/>
      <w:noProof/>
      <w:sz w:val="18"/>
    </w:rPr>
  </w:style>
  <w:style w:type="character" w:styleId="Collegamentoipertestuale">
    <w:name w:val="Hyperlink"/>
    <w:rsid w:val="001D70A6"/>
    <w:rPr>
      <w:strike w:val="0"/>
      <w:dstrike w:val="0"/>
      <w:color w:val="000000"/>
      <w:u w:val="none"/>
      <w:effect w:val="none"/>
    </w:rPr>
  </w:style>
  <w:style w:type="paragraph" w:customStyle="1" w:styleId="Default">
    <w:name w:val="Default"/>
    <w:basedOn w:val="Normale"/>
    <w:uiPriority w:val="99"/>
    <w:rsid w:val="00B67AD4"/>
    <w:pPr>
      <w:tabs>
        <w:tab w:val="clear" w:pos="284"/>
      </w:tabs>
      <w:autoSpaceDE w:val="0"/>
      <w:autoSpaceDN w:val="0"/>
      <w:spacing w:line="240" w:lineRule="auto"/>
      <w:jc w:val="left"/>
    </w:pPr>
    <w:rPr>
      <w:rFonts w:ascii="Verdana" w:eastAsiaTheme="minorHAnsi" w:hAnsi="Verdana"/>
      <w:color w:val="000000"/>
      <w:sz w:val="24"/>
      <w:szCs w:val="24"/>
    </w:rPr>
  </w:style>
  <w:style w:type="paragraph" w:styleId="Testofumetto">
    <w:name w:val="Balloon Text"/>
    <w:basedOn w:val="Normale"/>
    <w:link w:val="TestofumettoCarattere"/>
    <w:rsid w:val="00746071"/>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746071"/>
    <w:rPr>
      <w:rFonts w:ascii="Lucida Grande" w:eastAsia="Times New Roman" w:hAnsi="Lucida Grande" w:cs="Lucida Grande"/>
      <w:sz w:val="18"/>
      <w:szCs w:val="18"/>
    </w:rPr>
  </w:style>
  <w:style w:type="character" w:customStyle="1" w:styleId="Titolo4Carattere">
    <w:name w:val="Titolo 4 Carattere"/>
    <w:basedOn w:val="Carpredefinitoparagrafo"/>
    <w:link w:val="Titolo4"/>
    <w:semiHidden/>
    <w:rsid w:val="006C3EB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714</Words>
  <Characters>4275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Biologia dei Microrganismi</vt:lpstr>
    </vt:vector>
  </TitlesOfParts>
  <Company>UCSC Piacenza</Company>
  <LinksUpToDate>false</LinksUpToDate>
  <CharactersWithSpaces>4980</CharactersWithSpaces>
  <SharedDoc>false</SharedDoc>
  <HLinks>
    <vt:vector size="12" baseType="variant">
      <vt:variant>
        <vt:i4>5570614</vt:i4>
      </vt:variant>
      <vt:variant>
        <vt:i4>3</vt:i4>
      </vt:variant>
      <vt:variant>
        <vt:i4>0</vt:i4>
      </vt:variant>
      <vt:variant>
        <vt:i4>5</vt:i4>
      </vt:variant>
      <vt:variant>
        <vt:lpwstr>http://www.unilibro.it/find_buy/findresult/libreria/prodotto-libro/autore-martinko_john_m__.htm</vt:lpwstr>
      </vt:variant>
      <vt:variant>
        <vt:lpwstr/>
      </vt:variant>
      <vt:variant>
        <vt:i4>1114223</vt:i4>
      </vt:variant>
      <vt:variant>
        <vt:i4>0</vt:i4>
      </vt:variant>
      <vt:variant>
        <vt:i4>0</vt:i4>
      </vt:variant>
      <vt:variant>
        <vt:i4>5</vt:i4>
      </vt:variant>
      <vt:variant>
        <vt:lpwstr>http://www.unilibro.it/find_buy/findresult/libreria/prodotto-libro/autore-madigan_michael_t__.htm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Biologia dei Microrganismi</dc:title>
  <dc:creator>marialuisa.callegari</dc:creator>
  <cp:lastModifiedBy>Damiani Roberta</cp:lastModifiedBy>
  <cp:revision>8</cp:revision>
  <cp:lastPrinted>2013-04-18T11:06:00Z</cp:lastPrinted>
  <dcterms:created xsi:type="dcterms:W3CDTF">2022-05-04T15:15:00Z</dcterms:created>
  <dcterms:modified xsi:type="dcterms:W3CDTF">2022-07-12T13:35:00Z</dcterms:modified>
</cp:coreProperties>
</file>