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E11D1" w14:textId="2D684290" w:rsidR="009C14DC" w:rsidRPr="00AE7C6C" w:rsidRDefault="00A00A09" w:rsidP="001E7CED">
      <w:pPr>
        <w:pStyle w:val="Titolo1"/>
        <w:tabs>
          <w:tab w:val="left" w:pos="120"/>
          <w:tab w:val="left" w:pos="709"/>
          <w:tab w:val="left" w:pos="1080"/>
        </w:tabs>
        <w:spacing w:before="475" w:line="240" w:lineRule="auto"/>
        <w:rPr>
          <w:rFonts w:ascii="Arial" w:hAnsi="Arial" w:cs="Arial"/>
          <w:lang w:val="en-US"/>
        </w:rPr>
      </w:pPr>
      <w:r>
        <w:rPr>
          <w:rFonts w:ascii="Arial" w:hAnsi="Arial" w:cs="Arial"/>
          <w:lang w:val="en-US"/>
        </w:rPr>
        <w:t xml:space="preserve">Multichannel </w:t>
      </w:r>
      <w:r w:rsidR="009C14DC" w:rsidRPr="00AE7C6C">
        <w:rPr>
          <w:rFonts w:ascii="Arial" w:hAnsi="Arial" w:cs="Arial"/>
          <w:lang w:val="en-US"/>
        </w:rPr>
        <w:t>Retail Marketing</w:t>
      </w:r>
    </w:p>
    <w:p w14:paraId="0491DA14" w14:textId="37584509" w:rsidR="009C14DC" w:rsidRPr="00AE7C6C" w:rsidRDefault="009C14DC" w:rsidP="001E7CED">
      <w:pPr>
        <w:pStyle w:val="Titolo2"/>
        <w:tabs>
          <w:tab w:val="left" w:pos="709"/>
        </w:tabs>
        <w:spacing w:line="240" w:lineRule="auto"/>
        <w:rPr>
          <w:rFonts w:ascii="Arial" w:hAnsi="Arial" w:cs="Arial"/>
          <w:sz w:val="20"/>
          <w:lang w:val="en-US"/>
        </w:rPr>
      </w:pPr>
      <w:r w:rsidRPr="00AE7C6C">
        <w:rPr>
          <w:rFonts w:ascii="Arial" w:hAnsi="Arial" w:cs="Arial"/>
          <w:sz w:val="20"/>
          <w:lang w:val="en-US"/>
        </w:rPr>
        <w:t xml:space="preserve">Prof. </w:t>
      </w:r>
      <w:r w:rsidR="00B6203C" w:rsidRPr="00AE7C6C">
        <w:rPr>
          <w:rFonts w:ascii="Arial" w:hAnsi="Arial" w:cs="Arial"/>
          <w:sz w:val="20"/>
          <w:lang w:val="en-US"/>
        </w:rPr>
        <w:t>Edoardo Fornari</w:t>
      </w:r>
    </w:p>
    <w:p w14:paraId="6A67EF4E" w14:textId="5152E749" w:rsidR="009C14DC" w:rsidRPr="008112C6" w:rsidRDefault="008112C6" w:rsidP="001E7CED">
      <w:pPr>
        <w:spacing w:before="240" w:after="120"/>
        <w:rPr>
          <w:rFonts w:ascii="Arial" w:hAnsi="Arial" w:cs="Arial"/>
          <w:b/>
          <w:i/>
          <w:sz w:val="18"/>
          <w:szCs w:val="18"/>
        </w:rPr>
      </w:pPr>
      <w:r w:rsidRPr="008112C6">
        <w:rPr>
          <w:rFonts w:ascii="Arial" w:hAnsi="Arial" w:cs="Arial"/>
          <w:b/>
          <w:i/>
          <w:sz w:val="18"/>
          <w:szCs w:val="18"/>
        </w:rPr>
        <w:t xml:space="preserve">OBIETTIVO DEL CORSO E RISULTATI DI APPRENDIMENTO </w:t>
      </w:r>
      <w:r>
        <w:rPr>
          <w:rFonts w:ascii="Arial" w:hAnsi="Arial" w:cs="Arial"/>
          <w:b/>
          <w:i/>
          <w:sz w:val="18"/>
          <w:szCs w:val="18"/>
        </w:rPr>
        <w:t>ATTESI</w:t>
      </w:r>
    </w:p>
    <w:p w14:paraId="42FD1AB6" w14:textId="0AF91D14" w:rsidR="009C14DC" w:rsidRPr="00154877" w:rsidRDefault="00DB67EF" w:rsidP="001E7CED">
      <w:pPr>
        <w:tabs>
          <w:tab w:val="left" w:pos="709"/>
        </w:tabs>
        <w:jc w:val="both"/>
        <w:rPr>
          <w:rFonts w:ascii="Arial" w:hAnsi="Arial" w:cs="Arial"/>
          <w:sz w:val="20"/>
          <w:szCs w:val="20"/>
        </w:rPr>
      </w:pPr>
      <w:r w:rsidRPr="00154877">
        <w:rPr>
          <w:rFonts w:ascii="Arial" w:hAnsi="Arial" w:cs="Arial"/>
          <w:sz w:val="20"/>
          <w:szCs w:val="20"/>
        </w:rPr>
        <w:t xml:space="preserve">L’obiettivo dell’insegnamento è quello di fornire agli studenti conoscenze avanzate circa le leve di marketing che le imprese commerciali operanti nel settore agro-alimentare possono manovrare allo scopo di differenziarsi dai concorrenti. Il corso si divide in due parti principali. La prima si focalizza sul tema della </w:t>
      </w:r>
      <w:proofErr w:type="spellStart"/>
      <w:r w:rsidRPr="00154877">
        <w:rPr>
          <w:rFonts w:ascii="Arial" w:hAnsi="Arial" w:cs="Arial"/>
          <w:sz w:val="20"/>
          <w:szCs w:val="20"/>
        </w:rPr>
        <w:t>multicanalità</w:t>
      </w:r>
      <w:proofErr w:type="spellEnd"/>
      <w:r w:rsidRPr="00154877">
        <w:rPr>
          <w:rFonts w:ascii="Arial" w:hAnsi="Arial" w:cs="Arial"/>
          <w:sz w:val="20"/>
          <w:szCs w:val="20"/>
        </w:rPr>
        <w:t xml:space="preserve">, analizzando </w:t>
      </w:r>
      <w:r w:rsidR="00154877" w:rsidRPr="00154877">
        <w:rPr>
          <w:rFonts w:ascii="Arial" w:hAnsi="Arial" w:cs="Arial"/>
          <w:sz w:val="20"/>
          <w:szCs w:val="20"/>
        </w:rPr>
        <w:t xml:space="preserve">i profili dei diversi canali di vendita offline/online e gli effetti di sinergia/cannibalismo derivanti dalle situazioni di competizione </w:t>
      </w:r>
      <w:proofErr w:type="spellStart"/>
      <w:r w:rsidR="00154877" w:rsidRPr="00154877">
        <w:rPr>
          <w:rFonts w:ascii="Arial" w:hAnsi="Arial" w:cs="Arial"/>
          <w:sz w:val="20"/>
          <w:szCs w:val="20"/>
        </w:rPr>
        <w:t>intertype</w:t>
      </w:r>
      <w:proofErr w:type="spellEnd"/>
      <w:r w:rsidR="00154877" w:rsidRPr="00154877">
        <w:rPr>
          <w:rFonts w:ascii="Arial" w:hAnsi="Arial" w:cs="Arial"/>
          <w:sz w:val="20"/>
          <w:szCs w:val="20"/>
        </w:rPr>
        <w:t>. In tale ambito una particolare attenzione verrà dedicata all’approfondimento dei driver di sviluppo dell’e-commerce. La seconda parte, invece, si concentra sulle dimensioni del Retail Management offline/online</w:t>
      </w:r>
      <w:r w:rsidR="00154877">
        <w:rPr>
          <w:rFonts w:ascii="Arial" w:hAnsi="Arial" w:cs="Arial"/>
          <w:sz w:val="20"/>
          <w:szCs w:val="20"/>
        </w:rPr>
        <w:t xml:space="preserve"> e più in particolare su</w:t>
      </w:r>
      <w:r w:rsidR="009C14DC" w:rsidRPr="00154877">
        <w:rPr>
          <w:rFonts w:ascii="Arial" w:hAnsi="Arial" w:cs="Arial"/>
          <w:sz w:val="20"/>
          <w:szCs w:val="20"/>
        </w:rPr>
        <w:t xml:space="preserve">: </w:t>
      </w:r>
      <w:r w:rsidR="0049472D" w:rsidRPr="00154877">
        <w:rPr>
          <w:rFonts w:ascii="Arial" w:hAnsi="Arial" w:cs="Arial"/>
          <w:sz w:val="20"/>
          <w:szCs w:val="20"/>
        </w:rPr>
        <w:t xml:space="preserve">(i) </w:t>
      </w:r>
      <w:r w:rsidR="00154877" w:rsidRPr="00154877">
        <w:rPr>
          <w:rFonts w:ascii="Arial" w:hAnsi="Arial" w:cs="Arial"/>
          <w:sz w:val="20"/>
          <w:szCs w:val="20"/>
        </w:rPr>
        <w:t xml:space="preserve">i criteri di valutazione della location (offline) e la definizione </w:t>
      </w:r>
      <w:r w:rsidR="00154877">
        <w:rPr>
          <w:rFonts w:ascii="Arial" w:hAnsi="Arial" w:cs="Arial"/>
          <w:sz w:val="20"/>
          <w:szCs w:val="20"/>
        </w:rPr>
        <w:t>del modello di consegna (online</w:t>
      </w:r>
      <w:r w:rsidR="005C7D46">
        <w:rPr>
          <w:rFonts w:ascii="Arial" w:hAnsi="Arial" w:cs="Arial"/>
          <w:sz w:val="20"/>
          <w:szCs w:val="20"/>
        </w:rPr>
        <w:t>)</w:t>
      </w:r>
      <w:r w:rsidR="0049472D" w:rsidRPr="00154877">
        <w:rPr>
          <w:rFonts w:ascii="Arial" w:hAnsi="Arial" w:cs="Arial"/>
          <w:sz w:val="20"/>
          <w:szCs w:val="20"/>
        </w:rPr>
        <w:t xml:space="preserve">; </w:t>
      </w:r>
      <w:r w:rsidR="009C14DC" w:rsidRPr="00154877">
        <w:rPr>
          <w:rFonts w:ascii="Arial" w:hAnsi="Arial" w:cs="Arial"/>
          <w:sz w:val="20"/>
          <w:szCs w:val="20"/>
        </w:rPr>
        <w:t>(i</w:t>
      </w:r>
      <w:r w:rsidR="0049472D" w:rsidRPr="00154877">
        <w:rPr>
          <w:rFonts w:ascii="Arial" w:hAnsi="Arial" w:cs="Arial"/>
          <w:sz w:val="20"/>
          <w:szCs w:val="20"/>
        </w:rPr>
        <w:t>i</w:t>
      </w:r>
      <w:r w:rsidR="009C14DC" w:rsidRPr="00154877">
        <w:rPr>
          <w:rFonts w:ascii="Arial" w:hAnsi="Arial" w:cs="Arial"/>
          <w:sz w:val="20"/>
          <w:szCs w:val="20"/>
        </w:rPr>
        <w:t xml:space="preserve">) </w:t>
      </w:r>
      <w:r w:rsidR="00154877">
        <w:rPr>
          <w:rFonts w:ascii="Arial" w:hAnsi="Arial" w:cs="Arial"/>
          <w:sz w:val="20"/>
          <w:szCs w:val="20"/>
        </w:rPr>
        <w:t>le decisioni riguardanti quante e quali categorie/marche proporre in assortimento</w:t>
      </w:r>
      <w:r w:rsidR="005C7D46">
        <w:rPr>
          <w:rFonts w:ascii="Arial" w:hAnsi="Arial" w:cs="Arial"/>
          <w:sz w:val="20"/>
          <w:szCs w:val="20"/>
        </w:rPr>
        <w:t xml:space="preserve"> (category management)</w:t>
      </w:r>
      <w:r w:rsidR="009C14DC" w:rsidRPr="00154877">
        <w:rPr>
          <w:rFonts w:ascii="Arial" w:hAnsi="Arial" w:cs="Arial"/>
          <w:sz w:val="20"/>
          <w:szCs w:val="20"/>
        </w:rPr>
        <w:t>; (i</w:t>
      </w:r>
      <w:r w:rsidR="0049472D" w:rsidRPr="00154877">
        <w:rPr>
          <w:rFonts w:ascii="Arial" w:hAnsi="Arial" w:cs="Arial"/>
          <w:sz w:val="20"/>
          <w:szCs w:val="20"/>
        </w:rPr>
        <w:t>i</w:t>
      </w:r>
      <w:r w:rsidR="009C14DC" w:rsidRPr="00154877">
        <w:rPr>
          <w:rFonts w:ascii="Arial" w:hAnsi="Arial" w:cs="Arial"/>
          <w:sz w:val="20"/>
          <w:szCs w:val="20"/>
        </w:rPr>
        <w:t xml:space="preserve">i) </w:t>
      </w:r>
      <w:r w:rsidR="00154877">
        <w:rPr>
          <w:rFonts w:ascii="Arial" w:hAnsi="Arial" w:cs="Arial"/>
          <w:sz w:val="20"/>
          <w:szCs w:val="20"/>
        </w:rPr>
        <w:t xml:space="preserve">la scelta dell’approccio di </w:t>
      </w:r>
      <w:proofErr w:type="spellStart"/>
      <w:r w:rsidR="00154877">
        <w:rPr>
          <w:rFonts w:ascii="Arial" w:hAnsi="Arial" w:cs="Arial"/>
          <w:sz w:val="20"/>
          <w:szCs w:val="20"/>
        </w:rPr>
        <w:t>pricing</w:t>
      </w:r>
      <w:proofErr w:type="spellEnd"/>
      <w:r w:rsidR="009C14DC" w:rsidRPr="00154877">
        <w:rPr>
          <w:rFonts w:ascii="Arial" w:hAnsi="Arial" w:cs="Arial"/>
          <w:sz w:val="20"/>
          <w:szCs w:val="20"/>
        </w:rPr>
        <w:t xml:space="preserve">, </w:t>
      </w:r>
      <w:r w:rsidR="00154877">
        <w:rPr>
          <w:rFonts w:ascii="Arial" w:hAnsi="Arial" w:cs="Arial"/>
          <w:sz w:val="20"/>
          <w:szCs w:val="20"/>
        </w:rPr>
        <w:t>distinguendo tra politiche di</w:t>
      </w:r>
      <w:r w:rsidR="009C14DC" w:rsidRPr="00154877">
        <w:rPr>
          <w:rFonts w:ascii="Arial" w:hAnsi="Arial" w:cs="Arial"/>
          <w:sz w:val="20"/>
          <w:szCs w:val="20"/>
        </w:rPr>
        <w:t xml:space="preserve"> </w:t>
      </w:r>
      <w:proofErr w:type="spellStart"/>
      <w:r w:rsidR="009C14DC" w:rsidRPr="00154877">
        <w:rPr>
          <w:rFonts w:ascii="Arial" w:hAnsi="Arial" w:cs="Arial"/>
          <w:sz w:val="20"/>
          <w:szCs w:val="20"/>
        </w:rPr>
        <w:t>Every</w:t>
      </w:r>
      <w:proofErr w:type="spellEnd"/>
      <w:r w:rsidR="009C14DC" w:rsidRPr="00154877">
        <w:rPr>
          <w:rFonts w:ascii="Arial" w:hAnsi="Arial" w:cs="Arial"/>
          <w:sz w:val="20"/>
          <w:szCs w:val="20"/>
        </w:rPr>
        <w:t xml:space="preserve"> </w:t>
      </w:r>
      <w:proofErr w:type="spellStart"/>
      <w:r w:rsidR="009C14DC" w:rsidRPr="00154877">
        <w:rPr>
          <w:rFonts w:ascii="Arial" w:hAnsi="Arial" w:cs="Arial"/>
          <w:sz w:val="20"/>
          <w:szCs w:val="20"/>
        </w:rPr>
        <w:t>Day</w:t>
      </w:r>
      <w:proofErr w:type="spellEnd"/>
      <w:r w:rsidR="009C14DC" w:rsidRPr="00154877">
        <w:rPr>
          <w:rFonts w:ascii="Arial" w:hAnsi="Arial" w:cs="Arial"/>
          <w:sz w:val="20"/>
          <w:szCs w:val="20"/>
        </w:rPr>
        <w:t xml:space="preserve"> </w:t>
      </w:r>
      <w:proofErr w:type="spellStart"/>
      <w:r w:rsidR="009C14DC" w:rsidRPr="00154877">
        <w:rPr>
          <w:rFonts w:ascii="Arial" w:hAnsi="Arial" w:cs="Arial"/>
          <w:sz w:val="20"/>
          <w:szCs w:val="20"/>
        </w:rPr>
        <w:t>Low</w:t>
      </w:r>
      <w:proofErr w:type="spellEnd"/>
      <w:r w:rsidR="00154877">
        <w:rPr>
          <w:rFonts w:ascii="Arial" w:hAnsi="Arial" w:cs="Arial"/>
          <w:sz w:val="20"/>
          <w:szCs w:val="20"/>
        </w:rPr>
        <w:t xml:space="preserve"> Price</w:t>
      </w:r>
      <w:r w:rsidR="009C14DC" w:rsidRPr="00154877">
        <w:rPr>
          <w:rFonts w:ascii="Arial" w:hAnsi="Arial" w:cs="Arial"/>
          <w:sz w:val="20"/>
          <w:szCs w:val="20"/>
        </w:rPr>
        <w:t xml:space="preserve"> </w:t>
      </w:r>
      <w:r w:rsidR="00154877">
        <w:rPr>
          <w:rFonts w:ascii="Arial" w:hAnsi="Arial" w:cs="Arial"/>
          <w:sz w:val="20"/>
          <w:szCs w:val="20"/>
        </w:rPr>
        <w:t>e</w:t>
      </w:r>
      <w:r w:rsidR="009C14DC" w:rsidRPr="00154877">
        <w:rPr>
          <w:rFonts w:ascii="Arial" w:hAnsi="Arial" w:cs="Arial"/>
          <w:sz w:val="20"/>
          <w:szCs w:val="20"/>
        </w:rPr>
        <w:t xml:space="preserve"> </w:t>
      </w:r>
      <w:r w:rsidR="00154877">
        <w:rPr>
          <w:rFonts w:ascii="Arial" w:hAnsi="Arial" w:cs="Arial"/>
          <w:sz w:val="20"/>
          <w:szCs w:val="20"/>
        </w:rPr>
        <w:t xml:space="preserve">di </w:t>
      </w:r>
      <w:r w:rsidR="009C14DC" w:rsidRPr="00154877">
        <w:rPr>
          <w:rFonts w:ascii="Arial" w:hAnsi="Arial" w:cs="Arial"/>
          <w:sz w:val="20"/>
          <w:szCs w:val="20"/>
        </w:rPr>
        <w:t xml:space="preserve">Hi-Lo </w:t>
      </w:r>
      <w:proofErr w:type="spellStart"/>
      <w:r w:rsidR="0049472D" w:rsidRPr="00154877">
        <w:rPr>
          <w:rFonts w:ascii="Arial" w:hAnsi="Arial" w:cs="Arial"/>
          <w:sz w:val="20"/>
          <w:szCs w:val="20"/>
        </w:rPr>
        <w:t>Pricing</w:t>
      </w:r>
      <w:proofErr w:type="spellEnd"/>
      <w:r w:rsidR="009C14DC" w:rsidRPr="00154877">
        <w:rPr>
          <w:rFonts w:ascii="Arial" w:hAnsi="Arial" w:cs="Arial"/>
          <w:sz w:val="20"/>
          <w:szCs w:val="20"/>
        </w:rPr>
        <w:t>; (i</w:t>
      </w:r>
      <w:r w:rsidR="0049472D" w:rsidRPr="00154877">
        <w:rPr>
          <w:rFonts w:ascii="Arial" w:hAnsi="Arial" w:cs="Arial"/>
          <w:sz w:val="20"/>
          <w:szCs w:val="20"/>
        </w:rPr>
        <w:t>v</w:t>
      </w:r>
      <w:r w:rsidR="009C14DC" w:rsidRPr="00154877">
        <w:rPr>
          <w:rFonts w:ascii="Arial" w:hAnsi="Arial" w:cs="Arial"/>
          <w:sz w:val="20"/>
          <w:szCs w:val="20"/>
        </w:rPr>
        <w:t xml:space="preserve">) </w:t>
      </w:r>
      <w:r w:rsidR="00154877">
        <w:rPr>
          <w:rFonts w:ascii="Arial" w:hAnsi="Arial" w:cs="Arial"/>
          <w:sz w:val="20"/>
          <w:szCs w:val="20"/>
        </w:rPr>
        <w:t>le strategie di gestione degli spazi espositivi con riferimento alle scelte di layout e di display</w:t>
      </w:r>
      <w:r w:rsidR="009C14DC" w:rsidRPr="00154877">
        <w:rPr>
          <w:rFonts w:ascii="Arial" w:hAnsi="Arial" w:cs="Arial"/>
          <w:sz w:val="20"/>
          <w:szCs w:val="20"/>
        </w:rPr>
        <w:t xml:space="preserve">; (v) </w:t>
      </w:r>
      <w:r w:rsidR="00154877">
        <w:rPr>
          <w:rFonts w:ascii="Arial" w:hAnsi="Arial" w:cs="Arial"/>
          <w:sz w:val="20"/>
          <w:szCs w:val="20"/>
        </w:rPr>
        <w:t>le politiche di comunicazione</w:t>
      </w:r>
      <w:r w:rsidR="009C14DC" w:rsidRPr="00154877">
        <w:rPr>
          <w:rFonts w:ascii="Arial" w:hAnsi="Arial" w:cs="Arial"/>
          <w:sz w:val="20"/>
          <w:szCs w:val="20"/>
        </w:rPr>
        <w:t xml:space="preserve">.  </w:t>
      </w:r>
    </w:p>
    <w:p w14:paraId="6EF272EE" w14:textId="2BB13630" w:rsidR="00154877" w:rsidRPr="00154877" w:rsidRDefault="00154877" w:rsidP="001E7CED">
      <w:pPr>
        <w:tabs>
          <w:tab w:val="left" w:pos="709"/>
        </w:tabs>
        <w:jc w:val="both"/>
        <w:rPr>
          <w:rFonts w:ascii="Arial" w:hAnsi="Arial" w:cs="Arial"/>
          <w:sz w:val="20"/>
          <w:szCs w:val="20"/>
        </w:rPr>
      </w:pPr>
      <w:r w:rsidRPr="00154877">
        <w:rPr>
          <w:rFonts w:ascii="Arial" w:hAnsi="Arial" w:cs="Arial"/>
          <w:sz w:val="20"/>
          <w:szCs w:val="20"/>
        </w:rPr>
        <w:t>Al termine dell’insegnamento</w:t>
      </w:r>
      <w:r w:rsidR="00AE7C6C" w:rsidRPr="00154877">
        <w:rPr>
          <w:rFonts w:ascii="Arial" w:hAnsi="Arial" w:cs="Arial"/>
          <w:sz w:val="20"/>
          <w:szCs w:val="20"/>
        </w:rPr>
        <w:t xml:space="preserve">, </w:t>
      </w:r>
      <w:r w:rsidRPr="00154877">
        <w:rPr>
          <w:rFonts w:ascii="Arial" w:hAnsi="Arial" w:cs="Arial"/>
          <w:sz w:val="20"/>
          <w:szCs w:val="20"/>
        </w:rPr>
        <w:t>gli student</w:t>
      </w:r>
      <w:r>
        <w:rPr>
          <w:rFonts w:ascii="Arial" w:hAnsi="Arial" w:cs="Arial"/>
          <w:sz w:val="20"/>
          <w:szCs w:val="20"/>
        </w:rPr>
        <w:t>i</w:t>
      </w:r>
      <w:r w:rsidRPr="00154877">
        <w:rPr>
          <w:rFonts w:ascii="Arial" w:hAnsi="Arial" w:cs="Arial"/>
          <w:sz w:val="20"/>
          <w:szCs w:val="20"/>
        </w:rPr>
        <w:t xml:space="preserve"> avranno acquisito </w:t>
      </w:r>
      <w:r>
        <w:rPr>
          <w:rFonts w:ascii="Arial" w:hAnsi="Arial" w:cs="Arial"/>
          <w:sz w:val="20"/>
          <w:szCs w:val="20"/>
        </w:rPr>
        <w:t xml:space="preserve">una profonda consapevolezza delle politiche di marketing dei </w:t>
      </w:r>
      <w:proofErr w:type="spellStart"/>
      <w:r>
        <w:rPr>
          <w:rFonts w:ascii="Arial" w:hAnsi="Arial" w:cs="Arial"/>
          <w:sz w:val="20"/>
          <w:szCs w:val="20"/>
        </w:rPr>
        <w:t>retailers</w:t>
      </w:r>
      <w:proofErr w:type="spellEnd"/>
      <w:r w:rsidR="006A6ED6">
        <w:rPr>
          <w:rFonts w:ascii="Arial" w:hAnsi="Arial" w:cs="Arial"/>
          <w:sz w:val="20"/>
          <w:szCs w:val="20"/>
        </w:rPr>
        <w:t>.</w:t>
      </w:r>
      <w:r>
        <w:rPr>
          <w:rFonts w:ascii="Arial" w:hAnsi="Arial" w:cs="Arial"/>
          <w:sz w:val="20"/>
          <w:szCs w:val="20"/>
        </w:rPr>
        <w:t xml:space="preserve"> </w:t>
      </w:r>
      <w:r w:rsidR="006A6ED6">
        <w:rPr>
          <w:rFonts w:ascii="Arial" w:hAnsi="Arial" w:cs="Arial"/>
          <w:sz w:val="20"/>
          <w:szCs w:val="20"/>
        </w:rPr>
        <w:t>T</w:t>
      </w:r>
      <w:r>
        <w:rPr>
          <w:rFonts w:ascii="Arial" w:hAnsi="Arial" w:cs="Arial"/>
          <w:sz w:val="20"/>
          <w:szCs w:val="20"/>
        </w:rPr>
        <w:t xml:space="preserve">ali conoscenze potranno essere applicate sia in ambito strategico che a livello operativo. Inoltre, attraverso la presentazione e la discussione collettiva </w:t>
      </w:r>
      <w:r w:rsidR="006A6ED6">
        <w:rPr>
          <w:rFonts w:ascii="Arial" w:hAnsi="Arial" w:cs="Arial"/>
          <w:sz w:val="20"/>
          <w:szCs w:val="20"/>
        </w:rPr>
        <w:t xml:space="preserve">delle più importanti </w:t>
      </w:r>
      <w:r w:rsidR="006A6ED6" w:rsidRPr="006A6ED6">
        <w:rPr>
          <w:rFonts w:ascii="Arial" w:hAnsi="Arial" w:cs="Arial"/>
          <w:i/>
          <w:sz w:val="20"/>
          <w:szCs w:val="20"/>
        </w:rPr>
        <w:t xml:space="preserve">case </w:t>
      </w:r>
      <w:proofErr w:type="spellStart"/>
      <w:r w:rsidR="006A6ED6" w:rsidRPr="006A6ED6">
        <w:rPr>
          <w:rFonts w:ascii="Arial" w:hAnsi="Arial" w:cs="Arial"/>
          <w:i/>
          <w:sz w:val="20"/>
          <w:szCs w:val="20"/>
        </w:rPr>
        <w:t>histories</w:t>
      </w:r>
      <w:proofErr w:type="spellEnd"/>
      <w:r w:rsidR="006A6ED6">
        <w:rPr>
          <w:rFonts w:ascii="Arial" w:hAnsi="Arial" w:cs="Arial"/>
          <w:sz w:val="20"/>
          <w:szCs w:val="20"/>
        </w:rPr>
        <w:t xml:space="preserve"> dei distributori leader a livello internazionale, sarà possibile maturare una spiccata autonomia di giudizio, una capacità di apprendimento avanzata ed abilità comunicative specifiche per il settore del Retail.  </w:t>
      </w:r>
      <w:r>
        <w:rPr>
          <w:rFonts w:ascii="Arial" w:hAnsi="Arial" w:cs="Arial"/>
          <w:sz w:val="20"/>
          <w:szCs w:val="20"/>
        </w:rPr>
        <w:t xml:space="preserve"> </w:t>
      </w:r>
    </w:p>
    <w:p w14:paraId="02F69495" w14:textId="312A418E" w:rsidR="009C14DC" w:rsidRPr="006A6ED6" w:rsidRDefault="006A6ED6" w:rsidP="001E7CED">
      <w:pPr>
        <w:tabs>
          <w:tab w:val="left" w:pos="709"/>
        </w:tabs>
        <w:spacing w:before="240" w:after="120"/>
        <w:rPr>
          <w:rFonts w:ascii="Arial" w:hAnsi="Arial" w:cs="Arial"/>
          <w:b/>
          <w:i/>
          <w:sz w:val="18"/>
          <w:szCs w:val="20"/>
        </w:rPr>
      </w:pPr>
      <w:r w:rsidRPr="006A6ED6">
        <w:rPr>
          <w:rFonts w:ascii="Arial" w:hAnsi="Arial" w:cs="Arial"/>
          <w:b/>
          <w:i/>
          <w:sz w:val="18"/>
          <w:szCs w:val="20"/>
        </w:rPr>
        <w:t>PROGRAMMA DEL CORSO</w:t>
      </w:r>
    </w:p>
    <w:p w14:paraId="6BA98C69" w14:textId="263B5249" w:rsidR="0049472D" w:rsidRPr="006A6ED6" w:rsidRDefault="006A6ED6" w:rsidP="001E7CED">
      <w:pPr>
        <w:tabs>
          <w:tab w:val="left" w:pos="709"/>
        </w:tabs>
        <w:jc w:val="both"/>
        <w:rPr>
          <w:rFonts w:ascii="Arial" w:hAnsi="Arial" w:cs="Arial"/>
          <w:sz w:val="20"/>
          <w:szCs w:val="20"/>
        </w:rPr>
      </w:pPr>
      <w:r w:rsidRPr="006A6ED6">
        <w:rPr>
          <w:rFonts w:ascii="Arial" w:hAnsi="Arial" w:cs="Arial"/>
          <w:sz w:val="20"/>
          <w:szCs w:val="20"/>
        </w:rPr>
        <w:t xml:space="preserve">I contenuti sviluppati nell’ambito dell’insegnamento, ed </w:t>
      </w:r>
      <w:r w:rsidR="00CA58B1">
        <w:rPr>
          <w:rFonts w:ascii="Arial" w:hAnsi="Arial" w:cs="Arial"/>
          <w:sz w:val="20"/>
          <w:szCs w:val="20"/>
        </w:rPr>
        <w:t>i</w:t>
      </w:r>
      <w:r w:rsidRPr="006A6ED6">
        <w:rPr>
          <w:rFonts w:ascii="Arial" w:hAnsi="Arial" w:cs="Arial"/>
          <w:sz w:val="20"/>
          <w:szCs w:val="20"/>
        </w:rPr>
        <w:t xml:space="preserve"> relativ</w:t>
      </w:r>
      <w:r w:rsidR="00CA58B1">
        <w:rPr>
          <w:rFonts w:ascii="Arial" w:hAnsi="Arial" w:cs="Arial"/>
          <w:sz w:val="20"/>
          <w:szCs w:val="20"/>
        </w:rPr>
        <w:t>i</w:t>
      </w:r>
      <w:r w:rsidRPr="006A6ED6">
        <w:rPr>
          <w:rFonts w:ascii="Arial" w:hAnsi="Arial" w:cs="Arial"/>
          <w:sz w:val="20"/>
          <w:szCs w:val="20"/>
        </w:rPr>
        <w:t xml:space="preserve"> CF</w:t>
      </w:r>
      <w:r>
        <w:rPr>
          <w:rFonts w:ascii="Arial" w:hAnsi="Arial" w:cs="Arial"/>
          <w:sz w:val="20"/>
          <w:szCs w:val="20"/>
        </w:rPr>
        <w:t>U, sono</w:t>
      </w:r>
      <w:r w:rsidR="0049472D" w:rsidRPr="006A6ED6">
        <w:rPr>
          <w:rFonts w:ascii="Arial" w:hAnsi="Arial" w:cs="Arial"/>
          <w:sz w:val="20"/>
          <w:szCs w:val="20"/>
        </w:rPr>
        <w:t>:</w:t>
      </w:r>
    </w:p>
    <w:p w14:paraId="627C8264" w14:textId="77777777" w:rsidR="0049472D" w:rsidRPr="006A6ED6" w:rsidRDefault="0049472D" w:rsidP="001E7CED">
      <w:pPr>
        <w:tabs>
          <w:tab w:val="left" w:pos="709"/>
        </w:tabs>
        <w:rPr>
          <w:rFonts w:ascii="Arial" w:hAnsi="Arial" w:cs="Arial"/>
          <w:sz w:val="12"/>
          <w:szCs w:val="12"/>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5812"/>
        <w:gridCol w:w="1212"/>
      </w:tblGrid>
      <w:tr w:rsidR="0049472D" w:rsidRPr="00F666D9" w14:paraId="6D31C5B5" w14:textId="77777777" w:rsidTr="001E7CED">
        <w:trPr>
          <w:trHeight w:val="362"/>
        </w:trPr>
        <w:tc>
          <w:tcPr>
            <w:tcW w:w="5812" w:type="dxa"/>
            <w:shd w:val="clear" w:color="auto" w:fill="auto"/>
            <w:vAlign w:val="center"/>
          </w:tcPr>
          <w:p w14:paraId="5DA3260B" w14:textId="07E976F5" w:rsidR="0049472D" w:rsidRPr="006A6ED6" w:rsidRDefault="006A6ED6" w:rsidP="001E7CED">
            <w:pPr>
              <w:rPr>
                <w:rFonts w:ascii="Arial" w:hAnsi="Arial" w:cs="Arial"/>
                <w:sz w:val="20"/>
                <w:szCs w:val="20"/>
              </w:rPr>
            </w:pPr>
            <w:r w:rsidRPr="006A6ED6">
              <w:rPr>
                <w:rFonts w:ascii="Arial" w:hAnsi="Arial" w:cs="Arial"/>
                <w:sz w:val="20"/>
                <w:szCs w:val="20"/>
              </w:rPr>
              <w:t>Contenuti</w:t>
            </w:r>
          </w:p>
        </w:tc>
        <w:tc>
          <w:tcPr>
            <w:tcW w:w="1212" w:type="dxa"/>
            <w:shd w:val="clear" w:color="auto" w:fill="auto"/>
            <w:vAlign w:val="center"/>
          </w:tcPr>
          <w:p w14:paraId="56F76D87" w14:textId="292A4582" w:rsidR="0049472D" w:rsidRPr="0049472D" w:rsidRDefault="006A6ED6" w:rsidP="001E7CED">
            <w:pPr>
              <w:jc w:val="center"/>
              <w:rPr>
                <w:rFonts w:ascii="Arial" w:hAnsi="Arial" w:cs="Arial"/>
                <w:sz w:val="20"/>
                <w:szCs w:val="20"/>
                <w:highlight w:val="yellow"/>
              </w:rPr>
            </w:pPr>
            <w:r>
              <w:rPr>
                <w:rFonts w:ascii="Arial" w:hAnsi="Arial" w:cs="Arial"/>
                <w:color w:val="000000" w:themeColor="text1"/>
                <w:sz w:val="18"/>
                <w:szCs w:val="20"/>
              </w:rPr>
              <w:t>CFU</w:t>
            </w:r>
            <w:r w:rsidR="0049472D" w:rsidRPr="0049472D">
              <w:rPr>
                <w:rFonts w:ascii="Arial" w:hAnsi="Arial" w:cs="Arial"/>
                <w:color w:val="000000" w:themeColor="text1"/>
                <w:sz w:val="18"/>
                <w:szCs w:val="20"/>
              </w:rPr>
              <w:t xml:space="preserve"> (</w:t>
            </w:r>
            <w:r w:rsidR="002B28EB">
              <w:rPr>
                <w:rFonts w:ascii="Arial" w:hAnsi="Arial" w:cs="Arial"/>
                <w:color w:val="000000" w:themeColor="text1"/>
                <w:sz w:val="18"/>
                <w:szCs w:val="20"/>
              </w:rPr>
              <w:t>5</w:t>
            </w:r>
            <w:r w:rsidR="0049472D" w:rsidRPr="0049472D">
              <w:rPr>
                <w:rFonts w:ascii="Arial" w:hAnsi="Arial" w:cs="Arial"/>
                <w:color w:val="000000" w:themeColor="text1"/>
                <w:sz w:val="18"/>
                <w:szCs w:val="20"/>
              </w:rPr>
              <w:t>)</w:t>
            </w:r>
          </w:p>
        </w:tc>
      </w:tr>
      <w:tr w:rsidR="0049472D" w:rsidRPr="006713E0" w14:paraId="4A0FD17E" w14:textId="77777777" w:rsidTr="001E7CED">
        <w:tc>
          <w:tcPr>
            <w:tcW w:w="5812" w:type="dxa"/>
            <w:shd w:val="clear" w:color="auto" w:fill="auto"/>
            <w:vAlign w:val="center"/>
          </w:tcPr>
          <w:p w14:paraId="297A9FA6" w14:textId="727888D2" w:rsidR="0049472D" w:rsidRPr="006A6ED6" w:rsidRDefault="0049472D" w:rsidP="001E7CED">
            <w:pPr>
              <w:tabs>
                <w:tab w:val="left" w:pos="709"/>
              </w:tabs>
              <w:rPr>
                <w:rFonts w:ascii="Arial" w:hAnsi="Arial" w:cs="Arial"/>
                <w:sz w:val="20"/>
                <w:szCs w:val="20"/>
              </w:rPr>
            </w:pPr>
            <w:r w:rsidRPr="006A6ED6">
              <w:rPr>
                <w:rFonts w:ascii="Arial" w:hAnsi="Arial" w:cs="Arial"/>
                <w:sz w:val="20"/>
                <w:szCs w:val="20"/>
              </w:rPr>
              <w:t>1.</w:t>
            </w:r>
            <w:r w:rsidRPr="006A6ED6">
              <w:rPr>
                <w:rFonts w:ascii="Arial" w:hAnsi="Arial" w:cs="Arial"/>
                <w:i/>
                <w:sz w:val="20"/>
                <w:szCs w:val="20"/>
              </w:rPr>
              <w:t xml:space="preserve"> </w:t>
            </w:r>
            <w:proofErr w:type="spellStart"/>
            <w:r w:rsidR="006A6ED6" w:rsidRPr="006A6ED6">
              <w:rPr>
                <w:rFonts w:ascii="Arial" w:hAnsi="Arial" w:cs="Arial"/>
                <w:i/>
                <w:sz w:val="20"/>
                <w:szCs w:val="20"/>
              </w:rPr>
              <w:t>Multicanalità</w:t>
            </w:r>
            <w:proofErr w:type="spellEnd"/>
            <w:r w:rsidRPr="006A6ED6">
              <w:rPr>
                <w:rFonts w:ascii="Arial" w:hAnsi="Arial" w:cs="Arial"/>
                <w:sz w:val="20"/>
                <w:szCs w:val="20"/>
              </w:rPr>
              <w:t xml:space="preserve">: </w:t>
            </w:r>
            <w:r w:rsidR="006A6ED6" w:rsidRPr="006A6ED6">
              <w:rPr>
                <w:rFonts w:ascii="Arial" w:hAnsi="Arial" w:cs="Arial"/>
                <w:sz w:val="20"/>
                <w:szCs w:val="20"/>
              </w:rPr>
              <w:t xml:space="preserve">dimensioni della competizione tra punti di vendita </w:t>
            </w:r>
            <w:r w:rsidR="006A6ED6">
              <w:rPr>
                <w:rFonts w:ascii="Arial" w:hAnsi="Arial" w:cs="Arial"/>
                <w:sz w:val="20"/>
                <w:szCs w:val="20"/>
              </w:rPr>
              <w:t xml:space="preserve">“fisici” </w:t>
            </w:r>
            <w:r w:rsidR="006A6ED6" w:rsidRPr="006A6ED6">
              <w:rPr>
                <w:rFonts w:ascii="Arial" w:hAnsi="Arial" w:cs="Arial"/>
                <w:sz w:val="20"/>
                <w:szCs w:val="20"/>
              </w:rPr>
              <w:t>generalist</w:t>
            </w:r>
            <w:r w:rsidR="006A6ED6">
              <w:rPr>
                <w:rFonts w:ascii="Arial" w:hAnsi="Arial" w:cs="Arial"/>
                <w:sz w:val="20"/>
                <w:szCs w:val="20"/>
              </w:rPr>
              <w:t>i</w:t>
            </w:r>
            <w:r w:rsidR="006A6ED6" w:rsidRPr="006A6ED6">
              <w:rPr>
                <w:rFonts w:ascii="Arial" w:hAnsi="Arial" w:cs="Arial"/>
                <w:sz w:val="20"/>
                <w:szCs w:val="20"/>
              </w:rPr>
              <w:t xml:space="preserve"> e specialisti (es. Discount </w:t>
            </w:r>
            <w:r w:rsidR="006A6ED6" w:rsidRPr="006A6ED6">
              <w:rPr>
                <w:rFonts w:ascii="Arial" w:hAnsi="Arial" w:cs="Arial"/>
                <w:i/>
                <w:sz w:val="20"/>
                <w:szCs w:val="20"/>
              </w:rPr>
              <w:t>versus</w:t>
            </w:r>
            <w:r w:rsidR="006A6ED6" w:rsidRPr="006A6ED6">
              <w:rPr>
                <w:rFonts w:ascii="Arial" w:hAnsi="Arial" w:cs="Arial"/>
                <w:sz w:val="20"/>
                <w:szCs w:val="20"/>
              </w:rPr>
              <w:t xml:space="preserve"> Ipermercati </w:t>
            </w:r>
            <w:r w:rsidR="006A6ED6" w:rsidRPr="006A6ED6">
              <w:rPr>
                <w:rFonts w:ascii="Arial" w:hAnsi="Arial" w:cs="Arial"/>
                <w:i/>
                <w:sz w:val="20"/>
                <w:szCs w:val="20"/>
              </w:rPr>
              <w:t>versus</w:t>
            </w:r>
            <w:r w:rsidR="006A6ED6" w:rsidRPr="006A6ED6">
              <w:rPr>
                <w:rFonts w:ascii="Arial" w:hAnsi="Arial" w:cs="Arial"/>
                <w:sz w:val="20"/>
                <w:szCs w:val="20"/>
              </w:rPr>
              <w:t xml:space="preserve"> </w:t>
            </w:r>
            <w:r w:rsidR="00CA58B1">
              <w:rPr>
                <w:rFonts w:ascii="Arial" w:hAnsi="Arial" w:cs="Arial"/>
                <w:sz w:val="20"/>
                <w:szCs w:val="20"/>
              </w:rPr>
              <w:t>Enoteche</w:t>
            </w:r>
            <w:r w:rsidR="006A6ED6" w:rsidRPr="006A6ED6">
              <w:rPr>
                <w:rFonts w:ascii="Arial" w:hAnsi="Arial" w:cs="Arial"/>
                <w:sz w:val="20"/>
                <w:szCs w:val="20"/>
              </w:rPr>
              <w:t>)</w:t>
            </w:r>
            <w:r w:rsidR="002B28EB" w:rsidRPr="006A6ED6">
              <w:rPr>
                <w:rFonts w:ascii="Arial" w:hAnsi="Arial" w:cs="Arial"/>
                <w:color w:val="000000" w:themeColor="text1"/>
                <w:sz w:val="20"/>
                <w:szCs w:val="20"/>
              </w:rPr>
              <w:t xml:space="preserve">; </w:t>
            </w:r>
            <w:r w:rsidR="006A6ED6" w:rsidRPr="006A6ED6">
              <w:rPr>
                <w:rFonts w:ascii="Arial" w:hAnsi="Arial" w:cs="Arial"/>
                <w:color w:val="000000" w:themeColor="text1"/>
                <w:sz w:val="20"/>
                <w:szCs w:val="20"/>
              </w:rPr>
              <w:t>concorrenza “</w:t>
            </w:r>
            <w:proofErr w:type="spellStart"/>
            <w:r w:rsidR="002B28EB" w:rsidRPr="006A6ED6">
              <w:rPr>
                <w:rFonts w:ascii="Arial" w:hAnsi="Arial" w:cs="Arial"/>
                <w:color w:val="000000" w:themeColor="text1"/>
                <w:sz w:val="20"/>
                <w:szCs w:val="20"/>
              </w:rPr>
              <w:t>intertype</w:t>
            </w:r>
            <w:proofErr w:type="spellEnd"/>
            <w:r w:rsidR="006A6ED6" w:rsidRPr="006A6ED6">
              <w:rPr>
                <w:rFonts w:ascii="Arial" w:hAnsi="Arial" w:cs="Arial"/>
                <w:color w:val="000000" w:themeColor="text1"/>
                <w:sz w:val="20"/>
                <w:szCs w:val="20"/>
              </w:rPr>
              <w:t>”</w:t>
            </w:r>
            <w:r w:rsidR="002B28EB" w:rsidRPr="006A6ED6">
              <w:rPr>
                <w:rFonts w:ascii="Arial" w:hAnsi="Arial" w:cs="Arial"/>
                <w:color w:val="000000" w:themeColor="text1"/>
                <w:sz w:val="20"/>
                <w:szCs w:val="20"/>
              </w:rPr>
              <w:t xml:space="preserve"> </w:t>
            </w:r>
            <w:r w:rsidR="006A6ED6" w:rsidRPr="006A6ED6">
              <w:rPr>
                <w:rFonts w:ascii="Arial" w:hAnsi="Arial" w:cs="Arial"/>
                <w:color w:val="000000" w:themeColor="text1"/>
                <w:sz w:val="20"/>
                <w:szCs w:val="20"/>
              </w:rPr>
              <w:t xml:space="preserve">tra </w:t>
            </w:r>
            <w:r w:rsidR="006A6ED6" w:rsidRPr="006A6ED6">
              <w:rPr>
                <w:rFonts w:ascii="Arial" w:hAnsi="Arial" w:cs="Arial"/>
                <w:color w:val="000000" w:themeColor="text1"/>
                <w:sz w:val="20"/>
                <w:szCs w:val="20"/>
              </w:rPr>
              <w:lastRenderedPageBreak/>
              <w:t>canali offline e online</w:t>
            </w:r>
            <w:r w:rsidR="002B28EB" w:rsidRPr="006A6ED6">
              <w:rPr>
                <w:rFonts w:ascii="Arial" w:hAnsi="Arial" w:cs="Arial"/>
                <w:color w:val="000000" w:themeColor="text1"/>
                <w:sz w:val="20"/>
                <w:szCs w:val="20"/>
              </w:rPr>
              <w:t xml:space="preserve">; </w:t>
            </w:r>
            <w:r w:rsidR="006A6ED6" w:rsidRPr="006A6ED6">
              <w:rPr>
                <w:rFonts w:ascii="Arial" w:hAnsi="Arial" w:cs="Arial"/>
                <w:color w:val="000000" w:themeColor="text1"/>
                <w:sz w:val="20"/>
                <w:szCs w:val="20"/>
              </w:rPr>
              <w:t>fattori di sviluppo</w:t>
            </w:r>
            <w:r w:rsidR="002B28EB" w:rsidRPr="006A6ED6">
              <w:rPr>
                <w:rFonts w:ascii="Arial" w:hAnsi="Arial" w:cs="Arial"/>
                <w:color w:val="000000" w:themeColor="text1"/>
                <w:sz w:val="20"/>
                <w:szCs w:val="20"/>
              </w:rPr>
              <w:t xml:space="preserve"> </w:t>
            </w:r>
            <w:r w:rsidR="006A6ED6" w:rsidRPr="006A6ED6">
              <w:rPr>
                <w:rFonts w:ascii="Arial" w:hAnsi="Arial" w:cs="Arial"/>
                <w:color w:val="000000" w:themeColor="text1"/>
                <w:sz w:val="20"/>
                <w:szCs w:val="20"/>
              </w:rPr>
              <w:t>del canale e-commerce</w:t>
            </w:r>
          </w:p>
        </w:tc>
        <w:tc>
          <w:tcPr>
            <w:tcW w:w="1212" w:type="dxa"/>
            <w:shd w:val="clear" w:color="auto" w:fill="auto"/>
            <w:vAlign w:val="center"/>
          </w:tcPr>
          <w:p w14:paraId="604B768C" w14:textId="77777777" w:rsidR="0049472D" w:rsidRPr="0049472D" w:rsidRDefault="0049472D" w:rsidP="001E7CED">
            <w:pPr>
              <w:jc w:val="center"/>
              <w:rPr>
                <w:rFonts w:ascii="Arial" w:hAnsi="Arial" w:cs="Arial"/>
                <w:sz w:val="20"/>
                <w:szCs w:val="20"/>
              </w:rPr>
            </w:pPr>
            <w:r w:rsidRPr="0049472D">
              <w:rPr>
                <w:rFonts w:ascii="Arial" w:hAnsi="Arial" w:cs="Arial"/>
                <w:sz w:val="20"/>
                <w:szCs w:val="20"/>
              </w:rPr>
              <w:lastRenderedPageBreak/>
              <w:t>1.0</w:t>
            </w:r>
          </w:p>
        </w:tc>
      </w:tr>
      <w:tr w:rsidR="0049472D" w:rsidRPr="006713E0" w14:paraId="05255470" w14:textId="77777777" w:rsidTr="001E7CED">
        <w:tc>
          <w:tcPr>
            <w:tcW w:w="5812" w:type="dxa"/>
            <w:shd w:val="clear" w:color="auto" w:fill="auto"/>
            <w:vAlign w:val="center"/>
          </w:tcPr>
          <w:p w14:paraId="5BE4B98B" w14:textId="53D2A029" w:rsidR="0049472D" w:rsidRPr="006A6ED6" w:rsidRDefault="0049472D" w:rsidP="001E7CED">
            <w:pPr>
              <w:tabs>
                <w:tab w:val="left" w:pos="709"/>
              </w:tabs>
              <w:rPr>
                <w:rFonts w:ascii="Arial" w:hAnsi="Arial" w:cs="Arial"/>
                <w:sz w:val="20"/>
                <w:szCs w:val="20"/>
              </w:rPr>
            </w:pPr>
            <w:r w:rsidRPr="006A6ED6">
              <w:rPr>
                <w:rFonts w:ascii="Arial" w:hAnsi="Arial" w:cs="Arial"/>
                <w:i/>
                <w:sz w:val="20"/>
                <w:szCs w:val="20"/>
              </w:rPr>
              <w:t xml:space="preserve">2. </w:t>
            </w:r>
            <w:r w:rsidR="006A6ED6" w:rsidRPr="006A6ED6">
              <w:rPr>
                <w:rFonts w:ascii="Arial" w:hAnsi="Arial" w:cs="Arial"/>
                <w:i/>
                <w:sz w:val="20"/>
                <w:szCs w:val="20"/>
              </w:rPr>
              <w:t>Localizzazione e modelli di consegna</w:t>
            </w:r>
            <w:r w:rsidRPr="006A6ED6">
              <w:rPr>
                <w:rFonts w:ascii="Arial" w:hAnsi="Arial" w:cs="Arial"/>
                <w:sz w:val="20"/>
                <w:szCs w:val="20"/>
              </w:rPr>
              <w:t xml:space="preserve">: </w:t>
            </w:r>
            <w:r w:rsidR="006A6ED6">
              <w:rPr>
                <w:rFonts w:ascii="Arial" w:hAnsi="Arial" w:cs="Arial"/>
                <w:sz w:val="20"/>
                <w:szCs w:val="20"/>
              </w:rPr>
              <w:t xml:space="preserve">identificazione del bacino di utenza; definizione del ruolo di marketing dei punti vendita (traffico/prossimità); consegna a domicilio </w:t>
            </w:r>
            <w:r w:rsidR="006A6ED6" w:rsidRPr="006A6ED6">
              <w:rPr>
                <w:rFonts w:ascii="Arial" w:hAnsi="Arial" w:cs="Arial"/>
                <w:i/>
                <w:sz w:val="20"/>
                <w:szCs w:val="20"/>
              </w:rPr>
              <w:t>versus</w:t>
            </w:r>
            <w:r w:rsidR="006A6ED6">
              <w:rPr>
                <w:rFonts w:ascii="Arial" w:hAnsi="Arial" w:cs="Arial"/>
                <w:sz w:val="20"/>
                <w:szCs w:val="20"/>
              </w:rPr>
              <w:t xml:space="preserve"> clicca &amp; ritira </w:t>
            </w:r>
            <w:r w:rsidR="006A6ED6" w:rsidRPr="006A6ED6">
              <w:rPr>
                <w:rFonts w:ascii="Arial" w:hAnsi="Arial" w:cs="Arial"/>
                <w:i/>
                <w:sz w:val="20"/>
                <w:szCs w:val="20"/>
              </w:rPr>
              <w:t>versus</w:t>
            </w:r>
            <w:r w:rsidR="006A6ED6">
              <w:rPr>
                <w:rFonts w:ascii="Arial" w:hAnsi="Arial" w:cs="Arial"/>
                <w:sz w:val="20"/>
                <w:szCs w:val="20"/>
              </w:rPr>
              <w:t xml:space="preserve"> click &amp; drive</w:t>
            </w:r>
            <w:r w:rsidR="002B28EB" w:rsidRPr="006A6ED6">
              <w:rPr>
                <w:rFonts w:ascii="Arial" w:hAnsi="Arial" w:cs="Arial"/>
                <w:color w:val="000000" w:themeColor="text1"/>
                <w:sz w:val="20"/>
                <w:szCs w:val="20"/>
              </w:rPr>
              <w:t xml:space="preserve"> </w:t>
            </w:r>
          </w:p>
        </w:tc>
        <w:tc>
          <w:tcPr>
            <w:tcW w:w="1212" w:type="dxa"/>
            <w:shd w:val="clear" w:color="auto" w:fill="auto"/>
            <w:vAlign w:val="center"/>
          </w:tcPr>
          <w:p w14:paraId="70AF037A" w14:textId="77777777" w:rsidR="0049472D" w:rsidRPr="0049472D" w:rsidRDefault="0049472D" w:rsidP="001E7CED">
            <w:pPr>
              <w:jc w:val="center"/>
              <w:rPr>
                <w:rFonts w:ascii="Arial" w:hAnsi="Arial" w:cs="Arial"/>
                <w:sz w:val="20"/>
                <w:szCs w:val="20"/>
              </w:rPr>
            </w:pPr>
            <w:r w:rsidRPr="0049472D">
              <w:rPr>
                <w:rFonts w:ascii="Arial" w:hAnsi="Arial" w:cs="Arial"/>
                <w:sz w:val="20"/>
                <w:szCs w:val="20"/>
              </w:rPr>
              <w:t>1.0</w:t>
            </w:r>
          </w:p>
        </w:tc>
      </w:tr>
      <w:tr w:rsidR="0049472D" w14:paraId="2C22D51A" w14:textId="77777777" w:rsidTr="001E7CED">
        <w:tc>
          <w:tcPr>
            <w:tcW w:w="5812" w:type="dxa"/>
            <w:shd w:val="clear" w:color="auto" w:fill="auto"/>
            <w:vAlign w:val="center"/>
          </w:tcPr>
          <w:p w14:paraId="0424FC92" w14:textId="0C6BD7AF" w:rsidR="0049472D" w:rsidRPr="006A6ED6" w:rsidRDefault="0049472D" w:rsidP="001E7CED">
            <w:pPr>
              <w:tabs>
                <w:tab w:val="left" w:pos="426"/>
              </w:tabs>
              <w:rPr>
                <w:rFonts w:ascii="Arial" w:hAnsi="Arial" w:cs="Arial"/>
                <w:sz w:val="20"/>
                <w:szCs w:val="20"/>
              </w:rPr>
            </w:pPr>
            <w:r w:rsidRPr="006A6ED6">
              <w:rPr>
                <w:rFonts w:ascii="Arial" w:hAnsi="Arial" w:cs="Arial"/>
                <w:sz w:val="20"/>
                <w:szCs w:val="20"/>
              </w:rPr>
              <w:t xml:space="preserve">3. </w:t>
            </w:r>
            <w:r w:rsidR="006A6ED6" w:rsidRPr="006A6ED6">
              <w:rPr>
                <w:rFonts w:ascii="Arial" w:hAnsi="Arial" w:cs="Arial"/>
                <w:i/>
                <w:sz w:val="20"/>
                <w:szCs w:val="20"/>
              </w:rPr>
              <w:t xml:space="preserve">Strategie </w:t>
            </w:r>
            <w:proofErr w:type="spellStart"/>
            <w:r w:rsidR="006A6ED6" w:rsidRPr="006A6ED6">
              <w:rPr>
                <w:rFonts w:ascii="Arial" w:hAnsi="Arial" w:cs="Arial"/>
                <w:i/>
                <w:sz w:val="20"/>
                <w:szCs w:val="20"/>
              </w:rPr>
              <w:t>assortimentali</w:t>
            </w:r>
            <w:proofErr w:type="spellEnd"/>
            <w:r w:rsidR="002B28EB" w:rsidRPr="006A6ED6">
              <w:rPr>
                <w:rFonts w:ascii="Arial" w:hAnsi="Arial" w:cs="Arial"/>
                <w:i/>
                <w:sz w:val="20"/>
                <w:szCs w:val="20"/>
              </w:rPr>
              <w:t>:</w:t>
            </w:r>
            <w:r w:rsidRPr="006A6ED6">
              <w:rPr>
                <w:rFonts w:ascii="Arial" w:hAnsi="Arial" w:cs="Arial"/>
                <w:sz w:val="20"/>
                <w:szCs w:val="20"/>
              </w:rPr>
              <w:t xml:space="preserve"> </w:t>
            </w:r>
            <w:r w:rsidR="006A6ED6" w:rsidRPr="006A6ED6">
              <w:rPr>
                <w:rFonts w:ascii="Arial" w:hAnsi="Arial" w:cs="Arial"/>
                <w:sz w:val="20"/>
                <w:szCs w:val="20"/>
              </w:rPr>
              <w:t xml:space="preserve">principi del </w:t>
            </w:r>
            <w:proofErr w:type="spellStart"/>
            <w:r w:rsidR="00CA58B1">
              <w:rPr>
                <w:rFonts w:ascii="Arial" w:hAnsi="Arial" w:cs="Arial"/>
                <w:sz w:val="20"/>
                <w:szCs w:val="20"/>
              </w:rPr>
              <w:t>c</w:t>
            </w:r>
            <w:r w:rsidR="006A6ED6" w:rsidRPr="006A6ED6">
              <w:rPr>
                <w:rFonts w:ascii="Arial" w:hAnsi="Arial" w:cs="Arial"/>
                <w:sz w:val="20"/>
                <w:szCs w:val="20"/>
              </w:rPr>
              <w:t>ategory</w:t>
            </w:r>
            <w:proofErr w:type="spellEnd"/>
            <w:r w:rsidR="006A6ED6" w:rsidRPr="006A6ED6">
              <w:rPr>
                <w:rFonts w:ascii="Arial" w:hAnsi="Arial" w:cs="Arial"/>
                <w:sz w:val="20"/>
                <w:szCs w:val="20"/>
              </w:rPr>
              <w:t xml:space="preserve"> </w:t>
            </w:r>
            <w:r w:rsidR="00CA58B1">
              <w:rPr>
                <w:rFonts w:ascii="Arial" w:hAnsi="Arial" w:cs="Arial"/>
                <w:sz w:val="20"/>
                <w:szCs w:val="20"/>
              </w:rPr>
              <w:t>m</w:t>
            </w:r>
            <w:r w:rsidR="006A6ED6" w:rsidRPr="006A6ED6">
              <w:rPr>
                <w:rFonts w:ascii="Arial" w:hAnsi="Arial" w:cs="Arial"/>
                <w:sz w:val="20"/>
                <w:szCs w:val="20"/>
              </w:rPr>
              <w:t>anagement</w:t>
            </w:r>
            <w:r w:rsidR="002B28EB" w:rsidRPr="006A6ED6">
              <w:rPr>
                <w:rFonts w:ascii="Arial" w:hAnsi="Arial" w:cs="Arial"/>
                <w:sz w:val="20"/>
                <w:szCs w:val="20"/>
              </w:rPr>
              <w:t>;</w:t>
            </w:r>
            <w:r w:rsidR="00492914" w:rsidRPr="006A6ED6">
              <w:rPr>
                <w:rFonts w:ascii="Arial" w:hAnsi="Arial" w:cs="Arial"/>
                <w:sz w:val="20"/>
                <w:szCs w:val="20"/>
              </w:rPr>
              <w:t xml:space="preserve"> </w:t>
            </w:r>
            <w:r w:rsidR="006A6ED6" w:rsidRPr="006A6ED6">
              <w:rPr>
                <w:rFonts w:ascii="Arial" w:hAnsi="Arial" w:cs="Arial"/>
                <w:sz w:val="20"/>
                <w:szCs w:val="20"/>
              </w:rPr>
              <w:t>selezione delle marche nazionali</w:t>
            </w:r>
            <w:r w:rsidR="006A6ED6">
              <w:rPr>
                <w:rFonts w:ascii="Arial" w:hAnsi="Arial" w:cs="Arial"/>
                <w:sz w:val="20"/>
                <w:szCs w:val="20"/>
              </w:rPr>
              <w:t xml:space="preserve"> (leader)</w:t>
            </w:r>
            <w:r w:rsidR="006A6ED6" w:rsidRPr="006A6ED6">
              <w:rPr>
                <w:rFonts w:ascii="Arial" w:hAnsi="Arial" w:cs="Arial"/>
                <w:sz w:val="20"/>
                <w:szCs w:val="20"/>
              </w:rPr>
              <w:t xml:space="preserve"> versus minori/locali</w:t>
            </w:r>
            <w:r w:rsidR="00492914" w:rsidRPr="006A6ED6">
              <w:rPr>
                <w:rFonts w:ascii="Arial" w:hAnsi="Arial" w:cs="Arial"/>
                <w:sz w:val="20"/>
                <w:szCs w:val="20"/>
              </w:rPr>
              <w:t xml:space="preserve">; </w:t>
            </w:r>
            <w:r w:rsidR="006A6ED6">
              <w:rPr>
                <w:rFonts w:ascii="Arial" w:hAnsi="Arial" w:cs="Arial"/>
                <w:sz w:val="20"/>
                <w:szCs w:val="20"/>
              </w:rPr>
              <w:t>strategie di sviluppo delle marche private</w:t>
            </w:r>
            <w:r w:rsidR="00492914" w:rsidRPr="006A6ED6">
              <w:rPr>
                <w:rFonts w:ascii="Arial" w:hAnsi="Arial" w:cs="Arial"/>
                <w:sz w:val="20"/>
                <w:szCs w:val="20"/>
              </w:rPr>
              <w:t xml:space="preserve">; </w:t>
            </w:r>
            <w:r w:rsidR="006A6ED6">
              <w:rPr>
                <w:rFonts w:ascii="Arial" w:hAnsi="Arial" w:cs="Arial"/>
                <w:sz w:val="20"/>
                <w:szCs w:val="20"/>
              </w:rPr>
              <w:t>misurazione degli indicatori di produttività delle referenze</w:t>
            </w:r>
            <w:r w:rsidR="00492914" w:rsidRPr="006A6ED6">
              <w:rPr>
                <w:rFonts w:ascii="Arial" w:hAnsi="Arial" w:cs="Arial"/>
                <w:sz w:val="20"/>
                <w:szCs w:val="20"/>
              </w:rPr>
              <w:t xml:space="preserve"> </w:t>
            </w:r>
            <w:r w:rsidR="002B28EB" w:rsidRPr="006A6ED6">
              <w:rPr>
                <w:rFonts w:ascii="Arial" w:hAnsi="Arial" w:cs="Arial"/>
                <w:sz w:val="20"/>
                <w:szCs w:val="20"/>
              </w:rPr>
              <w:t xml:space="preserve"> </w:t>
            </w:r>
          </w:p>
        </w:tc>
        <w:tc>
          <w:tcPr>
            <w:tcW w:w="1212" w:type="dxa"/>
            <w:shd w:val="clear" w:color="auto" w:fill="auto"/>
            <w:vAlign w:val="center"/>
          </w:tcPr>
          <w:p w14:paraId="19FA2324" w14:textId="77777777" w:rsidR="0049472D" w:rsidRPr="0049472D" w:rsidRDefault="0049472D" w:rsidP="001E7CED">
            <w:pPr>
              <w:jc w:val="center"/>
              <w:rPr>
                <w:rFonts w:ascii="Arial" w:hAnsi="Arial" w:cs="Arial"/>
                <w:sz w:val="20"/>
                <w:szCs w:val="20"/>
              </w:rPr>
            </w:pPr>
            <w:r w:rsidRPr="0049472D">
              <w:rPr>
                <w:rFonts w:ascii="Arial" w:hAnsi="Arial" w:cs="Arial"/>
                <w:sz w:val="20"/>
                <w:szCs w:val="20"/>
              </w:rPr>
              <w:t>1.0</w:t>
            </w:r>
          </w:p>
        </w:tc>
      </w:tr>
      <w:tr w:rsidR="0049472D" w14:paraId="131B6862" w14:textId="77777777" w:rsidTr="001E7CED">
        <w:tc>
          <w:tcPr>
            <w:tcW w:w="5812" w:type="dxa"/>
            <w:shd w:val="clear" w:color="auto" w:fill="auto"/>
            <w:vAlign w:val="center"/>
          </w:tcPr>
          <w:p w14:paraId="4F5602B0" w14:textId="3347278B" w:rsidR="0049472D" w:rsidRPr="00365792" w:rsidRDefault="0049472D" w:rsidP="001E7CED">
            <w:pPr>
              <w:tabs>
                <w:tab w:val="left" w:pos="426"/>
              </w:tabs>
              <w:rPr>
                <w:rFonts w:ascii="Arial" w:hAnsi="Arial" w:cs="Arial"/>
                <w:sz w:val="20"/>
                <w:szCs w:val="20"/>
              </w:rPr>
            </w:pPr>
            <w:r w:rsidRPr="00365792">
              <w:rPr>
                <w:rFonts w:ascii="Arial" w:hAnsi="Arial" w:cs="Arial"/>
                <w:sz w:val="20"/>
                <w:szCs w:val="20"/>
              </w:rPr>
              <w:t xml:space="preserve">4. </w:t>
            </w:r>
            <w:r w:rsidR="006A6ED6" w:rsidRPr="00365792">
              <w:rPr>
                <w:rFonts w:ascii="Arial" w:hAnsi="Arial" w:cs="Arial"/>
                <w:i/>
                <w:sz w:val="20"/>
                <w:szCs w:val="20"/>
              </w:rPr>
              <w:t xml:space="preserve">Politiche di </w:t>
            </w:r>
            <w:proofErr w:type="spellStart"/>
            <w:r w:rsidR="006A6ED6" w:rsidRPr="00365792">
              <w:rPr>
                <w:rFonts w:ascii="Arial" w:hAnsi="Arial" w:cs="Arial"/>
                <w:i/>
                <w:sz w:val="20"/>
                <w:szCs w:val="20"/>
              </w:rPr>
              <w:t>retail</w:t>
            </w:r>
            <w:proofErr w:type="spellEnd"/>
            <w:r w:rsidR="006A6ED6" w:rsidRPr="00365792">
              <w:rPr>
                <w:rFonts w:ascii="Arial" w:hAnsi="Arial" w:cs="Arial"/>
                <w:i/>
                <w:sz w:val="20"/>
                <w:szCs w:val="20"/>
              </w:rPr>
              <w:t xml:space="preserve"> </w:t>
            </w:r>
            <w:proofErr w:type="spellStart"/>
            <w:r w:rsidR="006A6ED6" w:rsidRPr="00365792">
              <w:rPr>
                <w:rFonts w:ascii="Arial" w:hAnsi="Arial" w:cs="Arial"/>
                <w:i/>
                <w:sz w:val="20"/>
                <w:szCs w:val="20"/>
              </w:rPr>
              <w:t>pricing</w:t>
            </w:r>
            <w:proofErr w:type="spellEnd"/>
            <w:r w:rsidRPr="00365792">
              <w:rPr>
                <w:rFonts w:ascii="Arial" w:hAnsi="Arial" w:cs="Arial"/>
                <w:sz w:val="20"/>
                <w:szCs w:val="20"/>
              </w:rPr>
              <w:t xml:space="preserve">: </w:t>
            </w:r>
            <w:r w:rsidR="006A6ED6" w:rsidRPr="00365792">
              <w:rPr>
                <w:rFonts w:ascii="Arial" w:hAnsi="Arial" w:cs="Arial"/>
                <w:sz w:val="20"/>
                <w:szCs w:val="20"/>
              </w:rPr>
              <w:t>analisi dei fattori che influenzano margini</w:t>
            </w:r>
            <w:r w:rsidR="00365792">
              <w:rPr>
                <w:rFonts w:ascii="Arial" w:hAnsi="Arial" w:cs="Arial"/>
                <w:sz w:val="20"/>
                <w:szCs w:val="20"/>
              </w:rPr>
              <w:t>, costi e profitti commerciali;</w:t>
            </w:r>
            <w:r w:rsidR="00492914" w:rsidRPr="00365792">
              <w:rPr>
                <w:rFonts w:ascii="Arial" w:hAnsi="Arial" w:cs="Arial"/>
                <w:sz w:val="20"/>
                <w:szCs w:val="20"/>
              </w:rPr>
              <w:t xml:space="preserve"> </w:t>
            </w:r>
            <w:r w:rsidR="00365792">
              <w:rPr>
                <w:rFonts w:ascii="Arial" w:hAnsi="Arial" w:cs="Arial"/>
                <w:sz w:val="20"/>
                <w:szCs w:val="20"/>
              </w:rPr>
              <w:t xml:space="preserve">vantaggi e svantaggi di </w:t>
            </w:r>
            <w:r w:rsidR="00492914" w:rsidRPr="00365792">
              <w:rPr>
                <w:rFonts w:ascii="Arial" w:hAnsi="Arial" w:cs="Arial"/>
                <w:sz w:val="20"/>
                <w:szCs w:val="20"/>
              </w:rPr>
              <w:t xml:space="preserve">EDLP </w:t>
            </w:r>
            <w:r w:rsidR="00365792" w:rsidRPr="00365792">
              <w:rPr>
                <w:rFonts w:ascii="Arial" w:hAnsi="Arial" w:cs="Arial"/>
                <w:sz w:val="20"/>
                <w:szCs w:val="20"/>
              </w:rPr>
              <w:t>e</w:t>
            </w:r>
            <w:r w:rsidR="00492914" w:rsidRPr="00365792">
              <w:rPr>
                <w:rFonts w:ascii="Arial" w:hAnsi="Arial" w:cs="Arial"/>
                <w:sz w:val="20"/>
                <w:szCs w:val="20"/>
              </w:rPr>
              <w:t xml:space="preserve"> Hi-Lo </w:t>
            </w:r>
            <w:proofErr w:type="spellStart"/>
            <w:r w:rsidR="00365792">
              <w:rPr>
                <w:rFonts w:ascii="Arial" w:hAnsi="Arial" w:cs="Arial"/>
                <w:sz w:val="20"/>
                <w:szCs w:val="20"/>
              </w:rPr>
              <w:t>pricing</w:t>
            </w:r>
            <w:proofErr w:type="spellEnd"/>
            <w:r w:rsidR="00492914" w:rsidRPr="00365792">
              <w:rPr>
                <w:rFonts w:ascii="Arial" w:hAnsi="Arial" w:cs="Arial"/>
                <w:sz w:val="20"/>
                <w:szCs w:val="20"/>
              </w:rPr>
              <w:t xml:space="preserve">; </w:t>
            </w:r>
            <w:r w:rsidR="00365792">
              <w:rPr>
                <w:rFonts w:ascii="Arial" w:hAnsi="Arial" w:cs="Arial"/>
                <w:sz w:val="20"/>
                <w:szCs w:val="20"/>
              </w:rPr>
              <w:t>gestione delle promozioni di prezzo</w:t>
            </w:r>
            <w:r w:rsidR="00492914" w:rsidRPr="00365792">
              <w:rPr>
                <w:rFonts w:ascii="Arial" w:hAnsi="Arial" w:cs="Arial"/>
                <w:sz w:val="20"/>
                <w:szCs w:val="20"/>
              </w:rPr>
              <w:t xml:space="preserve">; </w:t>
            </w:r>
            <w:r w:rsidR="00365792">
              <w:rPr>
                <w:rFonts w:ascii="Arial" w:hAnsi="Arial" w:cs="Arial"/>
                <w:sz w:val="20"/>
                <w:szCs w:val="20"/>
              </w:rPr>
              <w:t xml:space="preserve">attività di </w:t>
            </w:r>
            <w:r w:rsidR="00492914" w:rsidRPr="00365792">
              <w:rPr>
                <w:rFonts w:ascii="Arial" w:hAnsi="Arial" w:cs="Arial"/>
                <w:sz w:val="20"/>
                <w:szCs w:val="20"/>
              </w:rPr>
              <w:t xml:space="preserve">CRM </w:t>
            </w:r>
          </w:p>
        </w:tc>
        <w:tc>
          <w:tcPr>
            <w:tcW w:w="1212" w:type="dxa"/>
            <w:shd w:val="clear" w:color="auto" w:fill="auto"/>
            <w:vAlign w:val="center"/>
          </w:tcPr>
          <w:p w14:paraId="31B1F547" w14:textId="77777777" w:rsidR="0049472D" w:rsidRPr="0049472D" w:rsidRDefault="0049472D" w:rsidP="001E7CED">
            <w:pPr>
              <w:jc w:val="center"/>
              <w:rPr>
                <w:rFonts w:ascii="Arial" w:hAnsi="Arial" w:cs="Arial"/>
                <w:sz w:val="20"/>
                <w:szCs w:val="20"/>
              </w:rPr>
            </w:pPr>
            <w:r w:rsidRPr="0049472D">
              <w:rPr>
                <w:rFonts w:ascii="Arial" w:hAnsi="Arial" w:cs="Arial"/>
                <w:sz w:val="20"/>
                <w:szCs w:val="20"/>
              </w:rPr>
              <w:t>1.0</w:t>
            </w:r>
          </w:p>
        </w:tc>
      </w:tr>
      <w:tr w:rsidR="0049472D" w14:paraId="54A2388B" w14:textId="77777777" w:rsidTr="001E7CED">
        <w:tc>
          <w:tcPr>
            <w:tcW w:w="5812" w:type="dxa"/>
            <w:shd w:val="clear" w:color="auto" w:fill="auto"/>
            <w:vAlign w:val="center"/>
          </w:tcPr>
          <w:p w14:paraId="1D8024F0" w14:textId="38F4C470" w:rsidR="0049472D" w:rsidRPr="00365792" w:rsidRDefault="0049472D" w:rsidP="001E7CED">
            <w:pPr>
              <w:tabs>
                <w:tab w:val="left" w:pos="426"/>
              </w:tabs>
              <w:rPr>
                <w:rFonts w:ascii="Arial" w:hAnsi="Arial" w:cs="Arial"/>
                <w:sz w:val="20"/>
                <w:szCs w:val="20"/>
              </w:rPr>
            </w:pPr>
            <w:r w:rsidRPr="00365792">
              <w:rPr>
                <w:rFonts w:ascii="Arial" w:hAnsi="Arial" w:cs="Arial"/>
                <w:sz w:val="20"/>
                <w:szCs w:val="20"/>
              </w:rPr>
              <w:t xml:space="preserve">5. </w:t>
            </w:r>
            <w:r w:rsidR="002B28EB" w:rsidRPr="00365792">
              <w:rPr>
                <w:rFonts w:ascii="Arial" w:hAnsi="Arial" w:cs="Arial"/>
                <w:i/>
                <w:sz w:val="20"/>
                <w:szCs w:val="20"/>
              </w:rPr>
              <w:t xml:space="preserve">Merchandising </w:t>
            </w:r>
            <w:r w:rsidR="00365792" w:rsidRPr="00365792">
              <w:rPr>
                <w:rFonts w:ascii="Arial" w:hAnsi="Arial" w:cs="Arial"/>
                <w:i/>
                <w:sz w:val="20"/>
                <w:szCs w:val="20"/>
              </w:rPr>
              <w:t>e comunicazione</w:t>
            </w:r>
            <w:r w:rsidRPr="00365792">
              <w:rPr>
                <w:rFonts w:ascii="Arial" w:hAnsi="Arial" w:cs="Arial"/>
                <w:sz w:val="20"/>
                <w:szCs w:val="20"/>
              </w:rPr>
              <w:t xml:space="preserve">: </w:t>
            </w:r>
            <w:r w:rsidR="00365792" w:rsidRPr="00365792">
              <w:rPr>
                <w:rFonts w:ascii="Arial" w:hAnsi="Arial" w:cs="Arial"/>
                <w:sz w:val="20"/>
                <w:szCs w:val="20"/>
              </w:rPr>
              <w:t>allocazione dello spazio espositivo ai reparti, alle categorie, ai segmenti e alle ma</w:t>
            </w:r>
            <w:r w:rsidR="00365792">
              <w:rPr>
                <w:rFonts w:ascii="Arial" w:hAnsi="Arial" w:cs="Arial"/>
                <w:sz w:val="20"/>
                <w:szCs w:val="20"/>
              </w:rPr>
              <w:t xml:space="preserve">rche; strategie di sostegno degli acquisti d’impulso; promozione della Retail Brand Image; iniziative di Shopper Marketing </w:t>
            </w:r>
          </w:p>
        </w:tc>
        <w:tc>
          <w:tcPr>
            <w:tcW w:w="1212" w:type="dxa"/>
            <w:shd w:val="clear" w:color="auto" w:fill="auto"/>
            <w:vAlign w:val="center"/>
          </w:tcPr>
          <w:p w14:paraId="5815BA8B" w14:textId="77777777" w:rsidR="0049472D" w:rsidRPr="0049472D" w:rsidRDefault="0049472D" w:rsidP="001E7CED">
            <w:pPr>
              <w:jc w:val="center"/>
              <w:rPr>
                <w:rFonts w:ascii="Arial" w:hAnsi="Arial" w:cs="Arial"/>
                <w:sz w:val="20"/>
                <w:szCs w:val="20"/>
              </w:rPr>
            </w:pPr>
            <w:r w:rsidRPr="0049472D">
              <w:rPr>
                <w:rFonts w:ascii="Arial" w:hAnsi="Arial" w:cs="Arial"/>
                <w:sz w:val="20"/>
                <w:szCs w:val="20"/>
              </w:rPr>
              <w:t>1.0</w:t>
            </w:r>
          </w:p>
        </w:tc>
      </w:tr>
    </w:tbl>
    <w:p w14:paraId="5E0B5691" w14:textId="77777777" w:rsidR="002B28EB" w:rsidRDefault="002B28EB" w:rsidP="001E7CED">
      <w:pPr>
        <w:tabs>
          <w:tab w:val="left" w:pos="709"/>
        </w:tabs>
        <w:rPr>
          <w:rFonts w:ascii="Arial" w:hAnsi="Arial" w:cs="Arial"/>
          <w:sz w:val="20"/>
          <w:szCs w:val="20"/>
          <w:lang w:val="en-GB"/>
        </w:rPr>
      </w:pPr>
    </w:p>
    <w:p w14:paraId="216A39FC" w14:textId="5259DEE1" w:rsidR="009C14DC" w:rsidRPr="00F4372E" w:rsidRDefault="000F2D0C" w:rsidP="001E7CED">
      <w:pPr>
        <w:tabs>
          <w:tab w:val="left" w:pos="709"/>
        </w:tabs>
        <w:spacing w:before="240" w:after="120"/>
        <w:rPr>
          <w:rFonts w:ascii="Arial" w:hAnsi="Arial" w:cs="Arial"/>
          <w:b/>
          <w:i/>
          <w:sz w:val="18"/>
          <w:szCs w:val="20"/>
        </w:rPr>
      </w:pPr>
      <w:r w:rsidRPr="00F4372E">
        <w:rPr>
          <w:rFonts w:ascii="Arial" w:hAnsi="Arial" w:cs="Arial"/>
          <w:b/>
          <w:i/>
          <w:sz w:val="18"/>
          <w:szCs w:val="20"/>
        </w:rPr>
        <w:t>BIBLIOGRAFIA</w:t>
      </w:r>
    </w:p>
    <w:p w14:paraId="07AFDE73" w14:textId="7FB3BBA5" w:rsidR="000F2D0C" w:rsidRPr="00F4372E" w:rsidRDefault="000F2D0C" w:rsidP="000F2D0C">
      <w:pPr>
        <w:jc w:val="both"/>
        <w:rPr>
          <w:rFonts w:ascii="Arial" w:hAnsi="Arial" w:cs="Arial"/>
          <w:sz w:val="20"/>
          <w:szCs w:val="18"/>
        </w:rPr>
      </w:pPr>
      <w:r w:rsidRPr="00F4372E">
        <w:rPr>
          <w:rFonts w:ascii="Arial" w:hAnsi="Arial" w:cs="Arial"/>
          <w:sz w:val="20"/>
          <w:szCs w:val="18"/>
        </w:rPr>
        <w:t>La bibliografia d’esame è costituita da una dispensa di letture aggiornate, predisposta dal Docente. Tale bibliografia sarà differenziata tra studenti frequentanti e non-frequentanti. Per entrambe le tipologie di studenti la rispettiva dispensa di letture verrà comunicata all’inizio delle lezioni e messa a disposizione sulla piattaforma “</w:t>
      </w:r>
      <w:proofErr w:type="spellStart"/>
      <w:r w:rsidRPr="00F4372E">
        <w:rPr>
          <w:rFonts w:ascii="Arial" w:hAnsi="Arial" w:cs="Arial"/>
          <w:sz w:val="20"/>
          <w:szCs w:val="18"/>
        </w:rPr>
        <w:t>Blackboard</w:t>
      </w:r>
      <w:proofErr w:type="spellEnd"/>
      <w:r w:rsidRPr="00F4372E">
        <w:rPr>
          <w:rFonts w:ascii="Arial" w:hAnsi="Arial" w:cs="Arial"/>
          <w:sz w:val="20"/>
          <w:szCs w:val="18"/>
        </w:rPr>
        <w:t>” (nella sezione “Materiali”).</w:t>
      </w:r>
    </w:p>
    <w:p w14:paraId="2BEFEA0C" w14:textId="6208E570" w:rsidR="009C14DC" w:rsidRPr="00F4372E" w:rsidRDefault="00F4372E" w:rsidP="001E7CED">
      <w:pPr>
        <w:tabs>
          <w:tab w:val="left" w:pos="709"/>
        </w:tabs>
        <w:spacing w:before="240" w:after="120"/>
        <w:rPr>
          <w:rFonts w:ascii="Arial" w:hAnsi="Arial" w:cs="Arial"/>
          <w:b/>
          <w:i/>
          <w:sz w:val="18"/>
          <w:szCs w:val="20"/>
        </w:rPr>
      </w:pPr>
      <w:r w:rsidRPr="00F4372E">
        <w:rPr>
          <w:rFonts w:ascii="Arial" w:hAnsi="Arial" w:cs="Arial"/>
          <w:b/>
          <w:i/>
          <w:sz w:val="18"/>
          <w:szCs w:val="20"/>
        </w:rPr>
        <w:t>DIDATTICA DEL CORSO</w:t>
      </w:r>
    </w:p>
    <w:p w14:paraId="059A1B09" w14:textId="3C704A66" w:rsidR="008A3436" w:rsidRPr="00F4372E" w:rsidRDefault="00F4372E" w:rsidP="00F4372E">
      <w:pPr>
        <w:jc w:val="both"/>
        <w:rPr>
          <w:rFonts w:ascii="Arial" w:hAnsi="Arial" w:cs="Arial"/>
          <w:sz w:val="20"/>
          <w:szCs w:val="18"/>
        </w:rPr>
      </w:pPr>
      <w:r w:rsidRPr="00F4372E">
        <w:rPr>
          <w:rFonts w:ascii="Arial" w:hAnsi="Arial" w:cs="Arial"/>
          <w:sz w:val="20"/>
          <w:szCs w:val="18"/>
        </w:rPr>
        <w:t>Le lezioni frontali in aula saranno integrate da alcune testimonianze manageriali di aziende operanti nel settore</w:t>
      </w:r>
      <w:r>
        <w:rPr>
          <w:rFonts w:ascii="Arial" w:hAnsi="Arial" w:cs="Arial"/>
          <w:sz w:val="20"/>
          <w:szCs w:val="18"/>
        </w:rPr>
        <w:t xml:space="preserve"> del Retail</w:t>
      </w:r>
      <w:r w:rsidRPr="00F4372E">
        <w:rPr>
          <w:rFonts w:ascii="Arial" w:hAnsi="Arial" w:cs="Arial"/>
          <w:sz w:val="20"/>
          <w:szCs w:val="18"/>
        </w:rPr>
        <w:t xml:space="preserve">. Inoltre, agli studenti frequentanti verranno proposte una serie di </w:t>
      </w:r>
      <w:r w:rsidRPr="00F4372E">
        <w:rPr>
          <w:rFonts w:ascii="Arial" w:hAnsi="Arial" w:cs="Arial"/>
          <w:i/>
          <w:sz w:val="20"/>
          <w:szCs w:val="18"/>
        </w:rPr>
        <w:t xml:space="preserve">case </w:t>
      </w:r>
      <w:proofErr w:type="spellStart"/>
      <w:r w:rsidRPr="00F4372E">
        <w:rPr>
          <w:rFonts w:ascii="Arial" w:hAnsi="Arial" w:cs="Arial"/>
          <w:i/>
          <w:sz w:val="20"/>
          <w:szCs w:val="18"/>
        </w:rPr>
        <w:t>histories</w:t>
      </w:r>
      <w:proofErr w:type="spellEnd"/>
      <w:r w:rsidRPr="00F4372E">
        <w:rPr>
          <w:rFonts w:ascii="Arial" w:hAnsi="Arial" w:cs="Arial"/>
          <w:sz w:val="20"/>
          <w:szCs w:val="18"/>
        </w:rPr>
        <w:t xml:space="preserve"> internazionali di attualità da discutere collettivamente in aula </w:t>
      </w:r>
      <w:r>
        <w:rPr>
          <w:rFonts w:ascii="Arial" w:hAnsi="Arial" w:cs="Arial"/>
          <w:sz w:val="20"/>
          <w:szCs w:val="18"/>
        </w:rPr>
        <w:t>e attraverso lo studio individuale</w:t>
      </w:r>
      <w:r w:rsidRPr="00F4372E">
        <w:rPr>
          <w:rFonts w:ascii="Arial" w:hAnsi="Arial" w:cs="Arial"/>
          <w:sz w:val="20"/>
          <w:szCs w:val="18"/>
        </w:rPr>
        <w:t>.</w:t>
      </w:r>
    </w:p>
    <w:p w14:paraId="4FF50C2A" w14:textId="12142433" w:rsidR="009C14DC" w:rsidRPr="00350819" w:rsidRDefault="00350819" w:rsidP="001E7CED">
      <w:pPr>
        <w:tabs>
          <w:tab w:val="left" w:pos="709"/>
        </w:tabs>
        <w:spacing w:before="240" w:after="120"/>
        <w:rPr>
          <w:rFonts w:ascii="Arial" w:hAnsi="Arial" w:cs="Arial"/>
          <w:b/>
          <w:i/>
          <w:sz w:val="18"/>
          <w:szCs w:val="20"/>
        </w:rPr>
      </w:pPr>
      <w:r w:rsidRPr="00350819">
        <w:rPr>
          <w:rFonts w:ascii="Arial" w:hAnsi="Arial" w:cs="Arial"/>
          <w:b/>
          <w:i/>
          <w:sz w:val="18"/>
          <w:szCs w:val="20"/>
        </w:rPr>
        <w:t>METODO E CRITERI DI VALUTAZIONE</w:t>
      </w:r>
    </w:p>
    <w:p w14:paraId="65BCDF43" w14:textId="5CE2A05D" w:rsidR="00350819" w:rsidRPr="0003379F" w:rsidRDefault="00350819" w:rsidP="00350819">
      <w:pPr>
        <w:tabs>
          <w:tab w:val="left" w:pos="709"/>
        </w:tabs>
        <w:jc w:val="both"/>
        <w:rPr>
          <w:rFonts w:ascii="Arial" w:hAnsi="Arial" w:cs="Arial"/>
          <w:sz w:val="20"/>
          <w:szCs w:val="20"/>
        </w:rPr>
      </w:pPr>
      <w:r w:rsidRPr="005C7D46">
        <w:rPr>
          <w:rFonts w:ascii="Arial" w:hAnsi="Arial" w:cs="Arial"/>
          <w:sz w:val="20"/>
          <w:szCs w:val="20"/>
        </w:rPr>
        <w:t xml:space="preserve">L’esame finale è in forma scritta e prevede domande aperte finalizzate a valutare la capacità degli studenti di applicare in modo critico le conoscenze acquisite </w:t>
      </w:r>
      <w:r w:rsidRPr="008C0FCE">
        <w:rPr>
          <w:rFonts w:ascii="Arial" w:hAnsi="Arial" w:cs="Arial"/>
          <w:sz w:val="20"/>
          <w:szCs w:val="20"/>
        </w:rPr>
        <w:lastRenderedPageBreak/>
        <w:t>attraverso lo studio dei temi oggetto di verifica. Le domande vengono formulate in modo tale da verificare non soltanto la capacità di apprendimento dello studente, ma anche la sua autonomia di giudizio e abilità comunicativa. A tal fine il metodo e i criteri di valutazione sono differenziati tra studenti frequentanti e non</w:t>
      </w:r>
      <w:r w:rsidR="008C0FCE">
        <w:rPr>
          <w:rFonts w:ascii="Arial" w:hAnsi="Arial" w:cs="Arial"/>
          <w:sz w:val="20"/>
          <w:szCs w:val="20"/>
        </w:rPr>
        <w:t>-</w:t>
      </w:r>
      <w:r w:rsidRPr="008C0FCE">
        <w:rPr>
          <w:rFonts w:ascii="Arial" w:hAnsi="Arial" w:cs="Arial"/>
          <w:sz w:val="20"/>
          <w:szCs w:val="20"/>
        </w:rPr>
        <w:t>frequentanti.</w:t>
      </w:r>
      <w:r w:rsidRPr="0003379F">
        <w:rPr>
          <w:rFonts w:ascii="Arial" w:hAnsi="Arial" w:cs="Arial"/>
          <w:sz w:val="20"/>
          <w:szCs w:val="20"/>
        </w:rPr>
        <w:t xml:space="preserve"> </w:t>
      </w:r>
    </w:p>
    <w:p w14:paraId="0BB25431" w14:textId="77777777" w:rsidR="00350819" w:rsidRDefault="00350819" w:rsidP="00350819">
      <w:pPr>
        <w:tabs>
          <w:tab w:val="left" w:pos="709"/>
        </w:tabs>
        <w:jc w:val="both"/>
        <w:rPr>
          <w:rFonts w:ascii="Arial" w:hAnsi="Arial" w:cs="Arial"/>
          <w:sz w:val="20"/>
          <w:szCs w:val="20"/>
        </w:rPr>
      </w:pPr>
      <w:r w:rsidRPr="00350819">
        <w:rPr>
          <w:rFonts w:ascii="Arial" w:hAnsi="Arial" w:cs="Arial"/>
          <w:sz w:val="20"/>
          <w:szCs w:val="20"/>
        </w:rPr>
        <w:t xml:space="preserve">In particolare, per i </w:t>
      </w:r>
      <w:r w:rsidRPr="00350819">
        <w:rPr>
          <w:rFonts w:ascii="Arial" w:hAnsi="Arial" w:cs="Arial"/>
          <w:i/>
          <w:sz w:val="20"/>
          <w:szCs w:val="20"/>
        </w:rPr>
        <w:t>frequentanti</w:t>
      </w:r>
      <w:r w:rsidRPr="00350819">
        <w:rPr>
          <w:rFonts w:ascii="Arial" w:hAnsi="Arial" w:cs="Arial"/>
          <w:sz w:val="20"/>
          <w:szCs w:val="20"/>
        </w:rPr>
        <w:t xml:space="preserve"> viene verificata la capacità di integrare i contenuti teorici con l’analisi/interpretazione de</w:t>
      </w:r>
      <w:r>
        <w:rPr>
          <w:rFonts w:ascii="Arial" w:hAnsi="Arial" w:cs="Arial"/>
          <w:sz w:val="20"/>
          <w:szCs w:val="20"/>
        </w:rPr>
        <w:t xml:space="preserve">i dati di mercato e con </w:t>
      </w:r>
      <w:r w:rsidRPr="00350819">
        <w:rPr>
          <w:rFonts w:ascii="Arial" w:hAnsi="Arial" w:cs="Arial"/>
          <w:sz w:val="20"/>
          <w:szCs w:val="20"/>
        </w:rPr>
        <w:t xml:space="preserve">gli insegnamenti operativi ricavabili </w:t>
      </w:r>
      <w:r>
        <w:rPr>
          <w:rFonts w:ascii="Arial" w:hAnsi="Arial" w:cs="Arial"/>
          <w:sz w:val="20"/>
          <w:szCs w:val="20"/>
        </w:rPr>
        <w:t xml:space="preserve">dalla </w:t>
      </w:r>
      <w:r w:rsidRPr="00350819">
        <w:rPr>
          <w:rFonts w:ascii="Arial" w:hAnsi="Arial" w:cs="Arial"/>
          <w:sz w:val="20"/>
          <w:szCs w:val="20"/>
        </w:rPr>
        <w:t xml:space="preserve">discussione delle </w:t>
      </w:r>
      <w:r w:rsidRPr="00350819">
        <w:rPr>
          <w:rFonts w:ascii="Arial" w:hAnsi="Arial" w:cs="Arial"/>
          <w:i/>
          <w:sz w:val="20"/>
          <w:szCs w:val="20"/>
        </w:rPr>
        <w:t xml:space="preserve">case </w:t>
      </w:r>
      <w:proofErr w:type="spellStart"/>
      <w:r w:rsidRPr="00350819">
        <w:rPr>
          <w:rFonts w:ascii="Arial" w:hAnsi="Arial" w:cs="Arial"/>
          <w:i/>
          <w:sz w:val="20"/>
          <w:szCs w:val="20"/>
        </w:rPr>
        <w:t>histories</w:t>
      </w:r>
      <w:proofErr w:type="spellEnd"/>
      <w:r w:rsidRPr="00350819">
        <w:rPr>
          <w:rFonts w:ascii="Arial" w:hAnsi="Arial" w:cs="Arial"/>
          <w:sz w:val="20"/>
          <w:szCs w:val="20"/>
        </w:rPr>
        <w:t xml:space="preserve"> aziendali. </w:t>
      </w:r>
    </w:p>
    <w:p w14:paraId="6D710F51" w14:textId="1E29A0D0" w:rsidR="00350819" w:rsidRDefault="00350819" w:rsidP="00350819">
      <w:pPr>
        <w:tabs>
          <w:tab w:val="left" w:pos="709"/>
        </w:tabs>
        <w:jc w:val="both"/>
        <w:rPr>
          <w:rFonts w:ascii="Arial" w:hAnsi="Arial" w:cs="Arial"/>
          <w:sz w:val="20"/>
          <w:szCs w:val="20"/>
        </w:rPr>
      </w:pPr>
      <w:r>
        <w:rPr>
          <w:rFonts w:ascii="Arial" w:hAnsi="Arial" w:cs="Arial"/>
          <w:sz w:val="20"/>
          <w:szCs w:val="20"/>
        </w:rPr>
        <w:t xml:space="preserve">Di conseguenza, l’esame scritto per i frequentanti è basato su tre domande riguardanti i contenuti delle lezioni ed una selezione delle letture contenute nella dispensa indicata in Bibliografia (al riguardo il Docente comunicherà agli studenti frequentanti quali letture </w:t>
      </w:r>
      <w:r w:rsidR="0003379F">
        <w:rPr>
          <w:rFonts w:ascii="Arial" w:hAnsi="Arial" w:cs="Arial"/>
          <w:sz w:val="20"/>
          <w:szCs w:val="20"/>
        </w:rPr>
        <w:t>dovranno essere preparate</w:t>
      </w:r>
      <w:r>
        <w:rPr>
          <w:rFonts w:ascii="Arial" w:hAnsi="Arial" w:cs="Arial"/>
          <w:sz w:val="20"/>
          <w:szCs w:val="20"/>
        </w:rPr>
        <w:t xml:space="preserve"> in vista dell’esame direttamente in aula, durante il corso). L’esame scritto avrà una durata complessiva di 45 minuti (15 minuti per ogni domanda). </w:t>
      </w:r>
      <w:r w:rsidR="0041015C">
        <w:rPr>
          <w:rFonts w:ascii="Arial" w:hAnsi="Arial" w:cs="Arial"/>
          <w:sz w:val="20"/>
          <w:szCs w:val="20"/>
        </w:rPr>
        <w:t xml:space="preserve">Le tre domande </w:t>
      </w:r>
      <w:r w:rsidR="0041015C" w:rsidRPr="0041015C">
        <w:rPr>
          <w:rFonts w:ascii="Arial" w:hAnsi="Arial" w:cs="Arial"/>
          <w:sz w:val="20"/>
          <w:szCs w:val="20"/>
        </w:rPr>
        <w:t>hanno uguale peso, valutato attraverso un punteggio da 0 (in caso di mancata risposta) a 1</w:t>
      </w:r>
      <w:r w:rsidR="00250430">
        <w:rPr>
          <w:rFonts w:ascii="Arial" w:hAnsi="Arial" w:cs="Arial"/>
          <w:sz w:val="20"/>
          <w:szCs w:val="20"/>
        </w:rPr>
        <w:t>0</w:t>
      </w:r>
      <w:r w:rsidR="0041015C" w:rsidRPr="0041015C">
        <w:rPr>
          <w:rFonts w:ascii="Arial" w:hAnsi="Arial" w:cs="Arial"/>
          <w:sz w:val="20"/>
          <w:szCs w:val="20"/>
        </w:rPr>
        <w:t xml:space="preserve"> (in caso di risposta eccellente).</w:t>
      </w:r>
    </w:p>
    <w:p w14:paraId="368A70FB" w14:textId="4AE36665" w:rsidR="0041015C" w:rsidRDefault="00350819" w:rsidP="0041015C">
      <w:pPr>
        <w:tabs>
          <w:tab w:val="left" w:pos="709"/>
        </w:tabs>
        <w:jc w:val="both"/>
        <w:rPr>
          <w:rFonts w:ascii="Arial" w:hAnsi="Arial" w:cs="Arial"/>
          <w:sz w:val="20"/>
          <w:szCs w:val="20"/>
        </w:rPr>
      </w:pPr>
      <w:r w:rsidRPr="00350819">
        <w:rPr>
          <w:rFonts w:ascii="Arial" w:hAnsi="Arial" w:cs="Arial"/>
          <w:sz w:val="20"/>
          <w:szCs w:val="20"/>
        </w:rPr>
        <w:t xml:space="preserve">Per gli studenti </w:t>
      </w:r>
      <w:r w:rsidRPr="00350819">
        <w:rPr>
          <w:rFonts w:ascii="Arial" w:hAnsi="Arial" w:cs="Arial"/>
          <w:i/>
          <w:sz w:val="20"/>
          <w:szCs w:val="20"/>
        </w:rPr>
        <w:t>non</w:t>
      </w:r>
      <w:r>
        <w:rPr>
          <w:rFonts w:ascii="Arial" w:hAnsi="Arial" w:cs="Arial"/>
          <w:i/>
          <w:sz w:val="20"/>
          <w:szCs w:val="20"/>
        </w:rPr>
        <w:t>-</w:t>
      </w:r>
      <w:r w:rsidRPr="00350819">
        <w:rPr>
          <w:rFonts w:ascii="Arial" w:hAnsi="Arial" w:cs="Arial"/>
          <w:i/>
          <w:sz w:val="20"/>
          <w:szCs w:val="20"/>
        </w:rPr>
        <w:t>frequentanti</w:t>
      </w:r>
      <w:r w:rsidRPr="00350819">
        <w:rPr>
          <w:rFonts w:ascii="Arial" w:hAnsi="Arial" w:cs="Arial"/>
          <w:sz w:val="20"/>
          <w:szCs w:val="20"/>
        </w:rPr>
        <w:t>, l</w:t>
      </w:r>
      <w:r w:rsidR="0041015C">
        <w:rPr>
          <w:rFonts w:ascii="Arial" w:hAnsi="Arial" w:cs="Arial"/>
          <w:sz w:val="20"/>
          <w:szCs w:val="20"/>
        </w:rPr>
        <w:t xml:space="preserve">’esame scritto si baserà sempre su tre </w:t>
      </w:r>
      <w:r w:rsidRPr="00350819">
        <w:rPr>
          <w:rFonts w:ascii="Arial" w:hAnsi="Arial" w:cs="Arial"/>
          <w:sz w:val="20"/>
          <w:szCs w:val="20"/>
        </w:rPr>
        <w:t>domande</w:t>
      </w:r>
      <w:r w:rsidR="0041015C">
        <w:rPr>
          <w:rFonts w:ascii="Arial" w:hAnsi="Arial" w:cs="Arial"/>
          <w:sz w:val="20"/>
          <w:szCs w:val="20"/>
        </w:rPr>
        <w:t xml:space="preserve">, ma </w:t>
      </w:r>
      <w:r w:rsidR="0003379F">
        <w:rPr>
          <w:rFonts w:ascii="Arial" w:hAnsi="Arial" w:cs="Arial"/>
          <w:sz w:val="20"/>
          <w:szCs w:val="20"/>
        </w:rPr>
        <w:t>riguardanti</w:t>
      </w:r>
      <w:r w:rsidRPr="00350819">
        <w:rPr>
          <w:rFonts w:ascii="Arial" w:hAnsi="Arial" w:cs="Arial"/>
          <w:sz w:val="20"/>
          <w:szCs w:val="20"/>
        </w:rPr>
        <w:t xml:space="preserve"> esclusivamente i contenuti dell’intera </w:t>
      </w:r>
      <w:r w:rsidR="0041015C">
        <w:rPr>
          <w:rFonts w:ascii="Arial" w:hAnsi="Arial" w:cs="Arial"/>
          <w:sz w:val="20"/>
          <w:szCs w:val="20"/>
        </w:rPr>
        <w:t xml:space="preserve">dispensa </w:t>
      </w:r>
      <w:r w:rsidR="0003379F">
        <w:rPr>
          <w:rFonts w:ascii="Arial" w:hAnsi="Arial" w:cs="Arial"/>
          <w:sz w:val="20"/>
          <w:szCs w:val="20"/>
        </w:rPr>
        <w:t xml:space="preserve">di letture </w:t>
      </w:r>
      <w:r w:rsidR="0041015C">
        <w:rPr>
          <w:rFonts w:ascii="Arial" w:hAnsi="Arial" w:cs="Arial"/>
          <w:sz w:val="20"/>
          <w:szCs w:val="20"/>
        </w:rPr>
        <w:t>indicata in B</w:t>
      </w:r>
      <w:r w:rsidRPr="00350819">
        <w:rPr>
          <w:rFonts w:ascii="Arial" w:hAnsi="Arial" w:cs="Arial"/>
          <w:sz w:val="20"/>
          <w:szCs w:val="20"/>
        </w:rPr>
        <w:t>ibliografia.</w:t>
      </w:r>
      <w:r w:rsidR="0041015C">
        <w:rPr>
          <w:rFonts w:ascii="Arial" w:hAnsi="Arial" w:cs="Arial"/>
          <w:sz w:val="20"/>
          <w:szCs w:val="20"/>
        </w:rPr>
        <w:t xml:space="preserve"> Anche in questo caso la durata complessiva della prova è di 45 minuti (15 minuti per ogni domanda). Le tre domande </w:t>
      </w:r>
      <w:r w:rsidR="0041015C" w:rsidRPr="0041015C">
        <w:rPr>
          <w:rFonts w:ascii="Arial" w:hAnsi="Arial" w:cs="Arial"/>
          <w:sz w:val="20"/>
          <w:szCs w:val="20"/>
        </w:rPr>
        <w:t>hanno uguale peso, valutato attraverso un punteggio da 0 (in caso di mancata risposta) a 1</w:t>
      </w:r>
      <w:r w:rsidR="00250430">
        <w:rPr>
          <w:rFonts w:ascii="Arial" w:hAnsi="Arial" w:cs="Arial"/>
          <w:sz w:val="20"/>
          <w:szCs w:val="20"/>
        </w:rPr>
        <w:t>0</w:t>
      </w:r>
      <w:r w:rsidR="0041015C" w:rsidRPr="0041015C">
        <w:rPr>
          <w:rFonts w:ascii="Arial" w:hAnsi="Arial" w:cs="Arial"/>
          <w:sz w:val="20"/>
          <w:szCs w:val="20"/>
        </w:rPr>
        <w:t xml:space="preserve"> (in caso di risposta eccellente).</w:t>
      </w:r>
    </w:p>
    <w:p w14:paraId="6AEFB46A" w14:textId="4BE3303F" w:rsidR="009C14DC" w:rsidRPr="008C0FCE" w:rsidRDefault="008C0FCE" w:rsidP="001E7CED">
      <w:pPr>
        <w:tabs>
          <w:tab w:val="left" w:pos="709"/>
        </w:tabs>
        <w:spacing w:before="240" w:after="120"/>
        <w:rPr>
          <w:rFonts w:ascii="Arial" w:hAnsi="Arial" w:cs="Arial"/>
          <w:b/>
          <w:i/>
          <w:sz w:val="18"/>
          <w:szCs w:val="20"/>
        </w:rPr>
      </w:pPr>
      <w:r w:rsidRPr="008C0FCE">
        <w:rPr>
          <w:rFonts w:ascii="Arial" w:hAnsi="Arial" w:cs="Arial"/>
          <w:b/>
          <w:i/>
          <w:sz w:val="18"/>
          <w:szCs w:val="20"/>
        </w:rPr>
        <w:t>AVVERTENZE E PREREQUISITI</w:t>
      </w:r>
    </w:p>
    <w:p w14:paraId="0EE65BAD" w14:textId="02B55B7A" w:rsidR="00FF6EC6" w:rsidRPr="008C0FCE" w:rsidRDefault="008C0FCE" w:rsidP="001E7CED">
      <w:pPr>
        <w:tabs>
          <w:tab w:val="left" w:pos="709"/>
        </w:tabs>
        <w:jc w:val="both"/>
        <w:rPr>
          <w:rFonts w:ascii="Arial" w:hAnsi="Arial" w:cs="Arial"/>
          <w:color w:val="212121"/>
          <w:sz w:val="20"/>
          <w:szCs w:val="20"/>
        </w:rPr>
      </w:pPr>
      <w:r>
        <w:rPr>
          <w:rFonts w:ascii="Arial" w:hAnsi="Arial" w:cs="Arial"/>
          <w:color w:val="212121"/>
          <w:sz w:val="20"/>
          <w:szCs w:val="20"/>
        </w:rPr>
        <w:t>Trattandosi di un corso specialistico, di profilo, ag</w:t>
      </w:r>
      <w:r w:rsidRPr="008C0FCE">
        <w:rPr>
          <w:rFonts w:ascii="Arial" w:hAnsi="Arial" w:cs="Arial"/>
          <w:color w:val="212121"/>
          <w:sz w:val="20"/>
          <w:szCs w:val="20"/>
        </w:rPr>
        <w:t xml:space="preserve">li studenti </w:t>
      </w:r>
      <w:r>
        <w:rPr>
          <w:rFonts w:ascii="Arial" w:hAnsi="Arial" w:cs="Arial"/>
          <w:color w:val="212121"/>
          <w:sz w:val="20"/>
          <w:szCs w:val="20"/>
        </w:rPr>
        <w:t>è richiesto il possesso</w:t>
      </w:r>
      <w:r w:rsidRPr="008C0FCE">
        <w:rPr>
          <w:rFonts w:ascii="Arial" w:hAnsi="Arial" w:cs="Arial"/>
          <w:color w:val="212121"/>
          <w:sz w:val="20"/>
          <w:szCs w:val="20"/>
        </w:rPr>
        <w:t xml:space="preserve"> </w:t>
      </w:r>
      <w:r>
        <w:rPr>
          <w:rFonts w:ascii="Arial" w:hAnsi="Arial" w:cs="Arial"/>
          <w:color w:val="212121"/>
          <w:sz w:val="20"/>
          <w:szCs w:val="20"/>
        </w:rPr>
        <w:t>delle</w:t>
      </w:r>
      <w:r w:rsidRPr="008C0FCE">
        <w:rPr>
          <w:rFonts w:ascii="Arial" w:hAnsi="Arial" w:cs="Arial"/>
          <w:color w:val="212121"/>
          <w:sz w:val="20"/>
          <w:szCs w:val="20"/>
        </w:rPr>
        <w:t xml:space="preserve"> conoscenze</w:t>
      </w:r>
      <w:r>
        <w:rPr>
          <w:rFonts w:ascii="Arial" w:hAnsi="Arial" w:cs="Arial"/>
          <w:color w:val="212121"/>
          <w:sz w:val="20"/>
          <w:szCs w:val="20"/>
        </w:rPr>
        <w:t xml:space="preserve"> </w:t>
      </w:r>
      <w:r w:rsidRPr="008C0FCE">
        <w:rPr>
          <w:rFonts w:ascii="Arial" w:hAnsi="Arial" w:cs="Arial"/>
          <w:color w:val="212121"/>
          <w:sz w:val="20"/>
          <w:szCs w:val="20"/>
        </w:rPr>
        <w:t>bas</w:t>
      </w:r>
      <w:r>
        <w:rPr>
          <w:rFonts w:ascii="Arial" w:hAnsi="Arial" w:cs="Arial"/>
          <w:color w:val="212121"/>
          <w:sz w:val="20"/>
          <w:szCs w:val="20"/>
        </w:rPr>
        <w:t xml:space="preserve">e dei corsi di Marketing Management. La frequenza del corso non richiede, invece, specifici prerequisiti in ambito Retail Management. Tuttavia, si presuppone che gli studenti abbiano una specifica predisposizione e uno spiccato interesse all’approfondimento di tali tematiche. </w:t>
      </w:r>
    </w:p>
    <w:p w14:paraId="26261A48" w14:textId="77777777" w:rsidR="008C0FCE" w:rsidRPr="00DD6A68" w:rsidRDefault="008C0FCE" w:rsidP="008C0FCE">
      <w:pPr>
        <w:spacing w:before="240" w:after="120"/>
        <w:rPr>
          <w:rFonts w:ascii="Arial" w:hAnsi="Arial" w:cs="Arial"/>
          <w:b/>
          <w:i/>
          <w:sz w:val="18"/>
          <w:szCs w:val="18"/>
        </w:rPr>
      </w:pPr>
      <w:r>
        <w:rPr>
          <w:rFonts w:ascii="Arial" w:hAnsi="Arial" w:cs="Arial"/>
          <w:b/>
          <w:i/>
          <w:sz w:val="18"/>
          <w:szCs w:val="18"/>
        </w:rPr>
        <w:t>ORARIO E LUOGO DI RICEVIMENTO DEGLI STUDENTI</w:t>
      </w:r>
    </w:p>
    <w:p w14:paraId="1FF676B4" w14:textId="62E47FF2" w:rsidR="00A0010B" w:rsidRPr="008C0FCE" w:rsidRDefault="008C0FCE" w:rsidP="008C0FCE">
      <w:pPr>
        <w:tabs>
          <w:tab w:val="left" w:pos="709"/>
        </w:tabs>
        <w:jc w:val="both"/>
        <w:rPr>
          <w:rFonts w:ascii="Arial" w:hAnsi="Arial" w:cs="Arial"/>
          <w:b/>
          <w:i/>
          <w:sz w:val="20"/>
          <w:szCs w:val="20"/>
        </w:rPr>
      </w:pPr>
      <w:r w:rsidRPr="008C0FCE">
        <w:rPr>
          <w:rFonts w:ascii="Arial" w:hAnsi="Arial" w:cs="Arial"/>
          <w:color w:val="212121"/>
          <w:sz w:val="20"/>
          <w:szCs w:val="20"/>
        </w:rPr>
        <w:t xml:space="preserve">Gli studenti possono scrivere in qualsiasi momento una e-mail all’indirizzo </w:t>
      </w:r>
      <w:r w:rsidRPr="008C0FCE">
        <w:rPr>
          <w:rFonts w:ascii="Arial" w:hAnsi="Arial" w:cs="Arial"/>
          <w:color w:val="1F497D" w:themeColor="text2"/>
          <w:sz w:val="20"/>
          <w:szCs w:val="20"/>
          <w:u w:val="single"/>
        </w:rPr>
        <w:t>edoardo.fornari@unicatt.it</w:t>
      </w:r>
      <w:r w:rsidRPr="008C0FCE">
        <w:rPr>
          <w:rFonts w:ascii="Arial" w:hAnsi="Arial" w:cs="Arial"/>
          <w:color w:val="1F497D" w:themeColor="text2"/>
          <w:sz w:val="20"/>
          <w:szCs w:val="20"/>
        </w:rPr>
        <w:t xml:space="preserve"> </w:t>
      </w:r>
      <w:r w:rsidRPr="008C0FCE">
        <w:rPr>
          <w:rFonts w:ascii="Arial" w:hAnsi="Arial" w:cs="Arial"/>
          <w:color w:val="212121"/>
          <w:sz w:val="20"/>
          <w:szCs w:val="20"/>
        </w:rPr>
        <w:t>per fissare un ricevimento individuale nello studio del Docente</w:t>
      </w:r>
      <w:r w:rsidR="00250430">
        <w:rPr>
          <w:rFonts w:ascii="Arial" w:hAnsi="Arial" w:cs="Arial"/>
          <w:color w:val="212121"/>
          <w:sz w:val="20"/>
          <w:szCs w:val="20"/>
        </w:rPr>
        <w:t>,</w:t>
      </w:r>
      <w:r w:rsidRPr="008C0FCE">
        <w:rPr>
          <w:rFonts w:ascii="Arial" w:hAnsi="Arial" w:cs="Arial"/>
          <w:color w:val="212121"/>
          <w:sz w:val="20"/>
          <w:szCs w:val="20"/>
        </w:rPr>
        <w:t xml:space="preserve"> presso il Dipartimento di Economia Agro-alimentare</w:t>
      </w:r>
      <w:r w:rsidR="00250430">
        <w:rPr>
          <w:rFonts w:ascii="Arial" w:hAnsi="Arial" w:cs="Arial"/>
          <w:color w:val="212121"/>
          <w:sz w:val="20"/>
          <w:szCs w:val="20"/>
        </w:rPr>
        <w:t>, oppure online</w:t>
      </w:r>
      <w:r w:rsidRPr="008C0FCE">
        <w:rPr>
          <w:rFonts w:ascii="Arial" w:hAnsi="Arial" w:cs="Arial"/>
          <w:color w:val="212121"/>
          <w:sz w:val="20"/>
          <w:szCs w:val="20"/>
        </w:rPr>
        <w:t>.</w:t>
      </w:r>
      <w:r w:rsidRPr="008C0FCE">
        <w:rPr>
          <w:rFonts w:ascii="Arial" w:hAnsi="Arial" w:cs="Arial"/>
          <w:b/>
          <w:i/>
          <w:sz w:val="20"/>
          <w:szCs w:val="20"/>
        </w:rPr>
        <w:t xml:space="preserve"> </w:t>
      </w:r>
    </w:p>
    <w:sectPr w:rsidR="00A0010B" w:rsidRPr="008C0FCE" w:rsidSect="00123946">
      <w:pgSz w:w="12240" w:h="15840"/>
      <w:pgMar w:top="3515" w:right="2608" w:bottom="3515" w:left="2608" w:header="851" w:footer="85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46276"/>
    <w:multiLevelType w:val="hybridMultilevel"/>
    <w:tmpl w:val="052E1E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A6A1B54"/>
    <w:multiLevelType w:val="hybridMultilevel"/>
    <w:tmpl w:val="2C5AE76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2B30170A"/>
    <w:multiLevelType w:val="hybridMultilevel"/>
    <w:tmpl w:val="207C81DE"/>
    <w:lvl w:ilvl="0" w:tplc="27147F1E">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2D721EF9"/>
    <w:multiLevelType w:val="hybridMultilevel"/>
    <w:tmpl w:val="71ECE1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0E1A47"/>
    <w:multiLevelType w:val="hybridMultilevel"/>
    <w:tmpl w:val="36FCB144"/>
    <w:lvl w:ilvl="0" w:tplc="E4DE942E">
      <w:numFmt w:val="bullet"/>
      <w:lvlText w:val="-"/>
      <w:lvlJc w:val="left"/>
      <w:pPr>
        <w:ind w:left="1040" w:hanging="360"/>
      </w:pPr>
      <w:rPr>
        <w:rFonts w:ascii="Times" w:eastAsia="Times New Roman" w:hAnsi="Times" w:cs="Times" w:hint="default"/>
      </w:rPr>
    </w:lvl>
    <w:lvl w:ilvl="1" w:tplc="04100003">
      <w:start w:val="1"/>
      <w:numFmt w:val="bullet"/>
      <w:lvlText w:val="o"/>
      <w:lvlJc w:val="left"/>
      <w:pPr>
        <w:ind w:left="1760" w:hanging="360"/>
      </w:pPr>
      <w:rPr>
        <w:rFonts w:ascii="Courier New" w:hAnsi="Courier New" w:cs="Courier New" w:hint="default"/>
      </w:rPr>
    </w:lvl>
    <w:lvl w:ilvl="2" w:tplc="04100005">
      <w:start w:val="1"/>
      <w:numFmt w:val="bullet"/>
      <w:lvlText w:val=""/>
      <w:lvlJc w:val="left"/>
      <w:pPr>
        <w:ind w:left="2480" w:hanging="360"/>
      </w:pPr>
      <w:rPr>
        <w:rFonts w:ascii="Wingdings" w:hAnsi="Wingdings" w:hint="default"/>
      </w:rPr>
    </w:lvl>
    <w:lvl w:ilvl="3" w:tplc="04100001">
      <w:start w:val="1"/>
      <w:numFmt w:val="bullet"/>
      <w:lvlText w:val=""/>
      <w:lvlJc w:val="left"/>
      <w:pPr>
        <w:ind w:left="3200" w:hanging="360"/>
      </w:pPr>
      <w:rPr>
        <w:rFonts w:ascii="Symbol" w:hAnsi="Symbol" w:hint="default"/>
      </w:rPr>
    </w:lvl>
    <w:lvl w:ilvl="4" w:tplc="04100003">
      <w:start w:val="1"/>
      <w:numFmt w:val="bullet"/>
      <w:lvlText w:val="o"/>
      <w:lvlJc w:val="left"/>
      <w:pPr>
        <w:ind w:left="3920" w:hanging="360"/>
      </w:pPr>
      <w:rPr>
        <w:rFonts w:ascii="Courier New" w:hAnsi="Courier New" w:cs="Courier New" w:hint="default"/>
      </w:rPr>
    </w:lvl>
    <w:lvl w:ilvl="5" w:tplc="04100005">
      <w:start w:val="1"/>
      <w:numFmt w:val="bullet"/>
      <w:lvlText w:val=""/>
      <w:lvlJc w:val="left"/>
      <w:pPr>
        <w:ind w:left="4640" w:hanging="360"/>
      </w:pPr>
      <w:rPr>
        <w:rFonts w:ascii="Wingdings" w:hAnsi="Wingdings" w:hint="default"/>
      </w:rPr>
    </w:lvl>
    <w:lvl w:ilvl="6" w:tplc="04100001">
      <w:start w:val="1"/>
      <w:numFmt w:val="bullet"/>
      <w:lvlText w:val=""/>
      <w:lvlJc w:val="left"/>
      <w:pPr>
        <w:ind w:left="5360" w:hanging="360"/>
      </w:pPr>
      <w:rPr>
        <w:rFonts w:ascii="Symbol" w:hAnsi="Symbol" w:hint="default"/>
      </w:rPr>
    </w:lvl>
    <w:lvl w:ilvl="7" w:tplc="04100003">
      <w:start w:val="1"/>
      <w:numFmt w:val="bullet"/>
      <w:lvlText w:val="o"/>
      <w:lvlJc w:val="left"/>
      <w:pPr>
        <w:ind w:left="6080" w:hanging="360"/>
      </w:pPr>
      <w:rPr>
        <w:rFonts w:ascii="Courier New" w:hAnsi="Courier New" w:cs="Courier New" w:hint="default"/>
      </w:rPr>
    </w:lvl>
    <w:lvl w:ilvl="8" w:tplc="04100005">
      <w:start w:val="1"/>
      <w:numFmt w:val="bullet"/>
      <w:lvlText w:val=""/>
      <w:lvlJc w:val="left"/>
      <w:pPr>
        <w:ind w:left="6800" w:hanging="360"/>
      </w:pPr>
      <w:rPr>
        <w:rFonts w:ascii="Wingdings" w:hAnsi="Wingdings" w:hint="default"/>
      </w:rPr>
    </w:lvl>
  </w:abstractNum>
  <w:abstractNum w:abstractNumId="5" w15:restartNumberingAfterBreak="0">
    <w:nsid w:val="3BBA0CD4"/>
    <w:multiLevelType w:val="hybridMultilevel"/>
    <w:tmpl w:val="9350F89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41F87837"/>
    <w:multiLevelType w:val="hybridMultilevel"/>
    <w:tmpl w:val="840E7492"/>
    <w:lvl w:ilvl="0" w:tplc="BB846086">
      <w:start w:val="1"/>
      <w:numFmt w:val="upperLetter"/>
      <w:lvlText w:val="%1."/>
      <w:lvlJc w:val="left"/>
      <w:pPr>
        <w:ind w:left="1069" w:hanging="360"/>
      </w:pPr>
      <w:rPr>
        <w:sz w:val="16"/>
      </w:r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7" w15:restartNumberingAfterBreak="0">
    <w:nsid w:val="44DB4101"/>
    <w:multiLevelType w:val="hybridMultilevel"/>
    <w:tmpl w:val="72664244"/>
    <w:lvl w:ilvl="0" w:tplc="3864D97E">
      <w:start w:val="1"/>
      <w:numFmt w:val="decimal"/>
      <w:lvlText w:val="%1."/>
      <w:lvlJc w:val="left"/>
      <w:pPr>
        <w:tabs>
          <w:tab w:val="num" w:pos="720"/>
        </w:tabs>
        <w:ind w:left="720" w:hanging="360"/>
      </w:pPr>
      <w:rPr>
        <w:rFonts w:ascii="Times New Roman" w:hAnsi="Times New Roman"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4EDF04F4"/>
    <w:multiLevelType w:val="hybridMultilevel"/>
    <w:tmpl w:val="469886AE"/>
    <w:lvl w:ilvl="0" w:tplc="27147F1E">
      <w:start w:val="1"/>
      <w:numFmt w:val="bullet"/>
      <w:lvlText w:val=""/>
      <w:lvlJc w:val="left"/>
      <w:pPr>
        <w:ind w:left="1040" w:hanging="360"/>
      </w:pPr>
      <w:rPr>
        <w:rFonts w:ascii="Symbol" w:hAnsi="Symbol" w:hint="default"/>
      </w:rPr>
    </w:lvl>
    <w:lvl w:ilvl="1" w:tplc="04100003">
      <w:start w:val="1"/>
      <w:numFmt w:val="bullet"/>
      <w:lvlText w:val="o"/>
      <w:lvlJc w:val="left"/>
      <w:pPr>
        <w:ind w:left="1760" w:hanging="360"/>
      </w:pPr>
      <w:rPr>
        <w:rFonts w:ascii="Courier New" w:hAnsi="Courier New" w:cs="Courier New" w:hint="default"/>
      </w:rPr>
    </w:lvl>
    <w:lvl w:ilvl="2" w:tplc="04100005">
      <w:start w:val="1"/>
      <w:numFmt w:val="bullet"/>
      <w:lvlText w:val=""/>
      <w:lvlJc w:val="left"/>
      <w:pPr>
        <w:ind w:left="2480" w:hanging="360"/>
      </w:pPr>
      <w:rPr>
        <w:rFonts w:ascii="Wingdings" w:hAnsi="Wingdings" w:hint="default"/>
      </w:rPr>
    </w:lvl>
    <w:lvl w:ilvl="3" w:tplc="04100001">
      <w:start w:val="1"/>
      <w:numFmt w:val="bullet"/>
      <w:lvlText w:val=""/>
      <w:lvlJc w:val="left"/>
      <w:pPr>
        <w:ind w:left="3200" w:hanging="360"/>
      </w:pPr>
      <w:rPr>
        <w:rFonts w:ascii="Symbol" w:hAnsi="Symbol" w:hint="default"/>
      </w:rPr>
    </w:lvl>
    <w:lvl w:ilvl="4" w:tplc="04100003">
      <w:start w:val="1"/>
      <w:numFmt w:val="bullet"/>
      <w:lvlText w:val="o"/>
      <w:lvlJc w:val="left"/>
      <w:pPr>
        <w:ind w:left="3920" w:hanging="360"/>
      </w:pPr>
      <w:rPr>
        <w:rFonts w:ascii="Courier New" w:hAnsi="Courier New" w:cs="Courier New" w:hint="default"/>
      </w:rPr>
    </w:lvl>
    <w:lvl w:ilvl="5" w:tplc="04100005">
      <w:start w:val="1"/>
      <w:numFmt w:val="bullet"/>
      <w:lvlText w:val=""/>
      <w:lvlJc w:val="left"/>
      <w:pPr>
        <w:ind w:left="4640" w:hanging="360"/>
      </w:pPr>
      <w:rPr>
        <w:rFonts w:ascii="Wingdings" w:hAnsi="Wingdings" w:hint="default"/>
      </w:rPr>
    </w:lvl>
    <w:lvl w:ilvl="6" w:tplc="04100001">
      <w:start w:val="1"/>
      <w:numFmt w:val="bullet"/>
      <w:lvlText w:val=""/>
      <w:lvlJc w:val="left"/>
      <w:pPr>
        <w:ind w:left="5360" w:hanging="360"/>
      </w:pPr>
      <w:rPr>
        <w:rFonts w:ascii="Symbol" w:hAnsi="Symbol" w:hint="default"/>
      </w:rPr>
    </w:lvl>
    <w:lvl w:ilvl="7" w:tplc="04100003">
      <w:start w:val="1"/>
      <w:numFmt w:val="bullet"/>
      <w:lvlText w:val="o"/>
      <w:lvlJc w:val="left"/>
      <w:pPr>
        <w:ind w:left="6080" w:hanging="360"/>
      </w:pPr>
      <w:rPr>
        <w:rFonts w:ascii="Courier New" w:hAnsi="Courier New" w:cs="Courier New" w:hint="default"/>
      </w:rPr>
    </w:lvl>
    <w:lvl w:ilvl="8" w:tplc="04100005">
      <w:start w:val="1"/>
      <w:numFmt w:val="bullet"/>
      <w:lvlText w:val=""/>
      <w:lvlJc w:val="left"/>
      <w:pPr>
        <w:ind w:left="6800" w:hanging="360"/>
      </w:pPr>
      <w:rPr>
        <w:rFonts w:ascii="Wingdings" w:hAnsi="Wingdings" w:hint="default"/>
      </w:rPr>
    </w:lvl>
  </w:abstractNum>
  <w:abstractNum w:abstractNumId="9" w15:restartNumberingAfterBreak="0">
    <w:nsid w:val="7149445A"/>
    <w:multiLevelType w:val="hybridMultilevel"/>
    <w:tmpl w:val="6766522E"/>
    <w:lvl w:ilvl="0" w:tplc="6720A488">
      <w:numFmt w:val="bullet"/>
      <w:lvlText w:val="-"/>
      <w:lvlJc w:val="left"/>
      <w:pPr>
        <w:ind w:left="1069" w:hanging="360"/>
      </w:pPr>
      <w:rPr>
        <w:rFonts w:ascii="Verdana" w:eastAsia="Times New Roman" w:hAnsi="Verdana"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15:restartNumberingAfterBreak="0">
    <w:nsid w:val="784C418E"/>
    <w:multiLevelType w:val="hybridMultilevel"/>
    <w:tmpl w:val="649ABE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7EE56735"/>
    <w:multiLevelType w:val="hybridMultilevel"/>
    <w:tmpl w:val="3B76A96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1"/>
  </w:num>
  <w:num w:numId="4">
    <w:abstractNumId w:val="0"/>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4F0"/>
    <w:rsid w:val="0003379F"/>
    <w:rsid w:val="00033D03"/>
    <w:rsid w:val="00043A15"/>
    <w:rsid w:val="00096D97"/>
    <w:rsid w:val="000A405B"/>
    <w:rsid w:val="000F2D0C"/>
    <w:rsid w:val="00121F40"/>
    <w:rsid w:val="00123946"/>
    <w:rsid w:val="00154877"/>
    <w:rsid w:val="00166364"/>
    <w:rsid w:val="0017111A"/>
    <w:rsid w:val="00194497"/>
    <w:rsid w:val="001B54F0"/>
    <w:rsid w:val="001B6ABF"/>
    <w:rsid w:val="001E7CED"/>
    <w:rsid w:val="001F0BB6"/>
    <w:rsid w:val="002022B0"/>
    <w:rsid w:val="00214C81"/>
    <w:rsid w:val="00244B20"/>
    <w:rsid w:val="00250430"/>
    <w:rsid w:val="002529F9"/>
    <w:rsid w:val="0026509F"/>
    <w:rsid w:val="002679E2"/>
    <w:rsid w:val="00291AE7"/>
    <w:rsid w:val="002921DD"/>
    <w:rsid w:val="002B28EB"/>
    <w:rsid w:val="002B6654"/>
    <w:rsid w:val="002D18D8"/>
    <w:rsid w:val="002D6338"/>
    <w:rsid w:val="00302FB9"/>
    <w:rsid w:val="00312BAB"/>
    <w:rsid w:val="00343CDE"/>
    <w:rsid w:val="00350819"/>
    <w:rsid w:val="00362197"/>
    <w:rsid w:val="00365792"/>
    <w:rsid w:val="00382F66"/>
    <w:rsid w:val="003B55EF"/>
    <w:rsid w:val="0041015C"/>
    <w:rsid w:val="00452BA5"/>
    <w:rsid w:val="004532D0"/>
    <w:rsid w:val="00476829"/>
    <w:rsid w:val="00492914"/>
    <w:rsid w:val="0049472D"/>
    <w:rsid w:val="004D1E74"/>
    <w:rsid w:val="00523E3B"/>
    <w:rsid w:val="005A2E8A"/>
    <w:rsid w:val="005C7D46"/>
    <w:rsid w:val="005F614E"/>
    <w:rsid w:val="006427F2"/>
    <w:rsid w:val="00643FF6"/>
    <w:rsid w:val="00661A87"/>
    <w:rsid w:val="00696583"/>
    <w:rsid w:val="006A6ED6"/>
    <w:rsid w:val="006C102D"/>
    <w:rsid w:val="00701F2B"/>
    <w:rsid w:val="00706426"/>
    <w:rsid w:val="00732E55"/>
    <w:rsid w:val="007425D1"/>
    <w:rsid w:val="00742686"/>
    <w:rsid w:val="007575CA"/>
    <w:rsid w:val="007D1C82"/>
    <w:rsid w:val="008112C6"/>
    <w:rsid w:val="00843C52"/>
    <w:rsid w:val="0085710F"/>
    <w:rsid w:val="0086479D"/>
    <w:rsid w:val="00887699"/>
    <w:rsid w:val="008A1441"/>
    <w:rsid w:val="008A3436"/>
    <w:rsid w:val="008C0FCE"/>
    <w:rsid w:val="00954E3D"/>
    <w:rsid w:val="00985096"/>
    <w:rsid w:val="009C14DC"/>
    <w:rsid w:val="00A0010B"/>
    <w:rsid w:val="00A00A09"/>
    <w:rsid w:val="00AC0456"/>
    <w:rsid w:val="00AC724E"/>
    <w:rsid w:val="00AE7C6C"/>
    <w:rsid w:val="00B22E8D"/>
    <w:rsid w:val="00B2691E"/>
    <w:rsid w:val="00B47BAF"/>
    <w:rsid w:val="00B6203C"/>
    <w:rsid w:val="00BF4EFA"/>
    <w:rsid w:val="00BF6D81"/>
    <w:rsid w:val="00C06300"/>
    <w:rsid w:val="00C27067"/>
    <w:rsid w:val="00CA58B1"/>
    <w:rsid w:val="00CB485F"/>
    <w:rsid w:val="00CC1AE9"/>
    <w:rsid w:val="00CD5983"/>
    <w:rsid w:val="00CE31A7"/>
    <w:rsid w:val="00CE4EC8"/>
    <w:rsid w:val="00D13684"/>
    <w:rsid w:val="00D23553"/>
    <w:rsid w:val="00D6400D"/>
    <w:rsid w:val="00D74733"/>
    <w:rsid w:val="00D848BE"/>
    <w:rsid w:val="00DB67EF"/>
    <w:rsid w:val="00DC7221"/>
    <w:rsid w:val="00DF440F"/>
    <w:rsid w:val="00DF53E4"/>
    <w:rsid w:val="00E23789"/>
    <w:rsid w:val="00EB08C9"/>
    <w:rsid w:val="00ED7B6F"/>
    <w:rsid w:val="00EF5EAD"/>
    <w:rsid w:val="00F17F97"/>
    <w:rsid w:val="00F41BDC"/>
    <w:rsid w:val="00F4372E"/>
    <w:rsid w:val="00FC3DA2"/>
    <w:rsid w:val="00FD2680"/>
    <w:rsid w:val="00FF6EC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CCB84"/>
  <w15:docId w15:val="{0AF0C183-D7F7-F945-A187-679B0BC5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B54F0"/>
    <w:rPr>
      <w:sz w:val="24"/>
      <w:szCs w:val="24"/>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B54F0"/>
    <w:rPr>
      <w:rFonts w:ascii="Times" w:hAnsi="Times"/>
      <w:b/>
      <w:noProof/>
      <w:lang w:val="it-IT"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basedOn w:val="Carpredefinitoparagrafo"/>
    <w:link w:val="Titolo2"/>
    <w:rsid w:val="00A0010B"/>
    <w:rPr>
      <w:rFonts w:ascii="Times" w:hAnsi="Times"/>
      <w:smallCaps/>
      <w:noProof/>
      <w:sz w:val="18"/>
    </w:rPr>
  </w:style>
  <w:style w:type="paragraph" w:styleId="Paragrafoelenco">
    <w:name w:val="List Paragraph"/>
    <w:basedOn w:val="Normale"/>
    <w:uiPriority w:val="34"/>
    <w:qFormat/>
    <w:rsid w:val="00244B20"/>
    <w:pPr>
      <w:ind w:left="720"/>
      <w:contextualSpacing/>
    </w:pPr>
  </w:style>
  <w:style w:type="character" w:styleId="Collegamentoipertestuale">
    <w:name w:val="Hyperlink"/>
    <w:basedOn w:val="Carpredefinitoparagrafo"/>
    <w:uiPriority w:val="99"/>
    <w:unhideWhenUsed/>
    <w:rsid w:val="00EB08C9"/>
    <w:rPr>
      <w:color w:val="0000FF"/>
      <w:u w:val="single"/>
    </w:rPr>
  </w:style>
  <w:style w:type="character" w:customStyle="1" w:styleId="Testo2Carattere">
    <w:name w:val="Testo 2 Carattere"/>
    <w:link w:val="Testo2"/>
    <w:locked/>
    <w:rsid w:val="00EB08C9"/>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52705">
      <w:bodyDiv w:val="1"/>
      <w:marLeft w:val="0"/>
      <w:marRight w:val="0"/>
      <w:marTop w:val="0"/>
      <w:marBottom w:val="0"/>
      <w:divBdr>
        <w:top w:val="none" w:sz="0" w:space="0" w:color="auto"/>
        <w:left w:val="none" w:sz="0" w:space="0" w:color="auto"/>
        <w:bottom w:val="none" w:sz="0" w:space="0" w:color="auto"/>
        <w:right w:val="none" w:sz="0" w:space="0" w:color="auto"/>
      </w:divBdr>
      <w:divsChild>
        <w:div w:id="375200928">
          <w:marLeft w:val="0"/>
          <w:marRight w:val="0"/>
          <w:marTop w:val="0"/>
          <w:marBottom w:val="0"/>
          <w:divBdr>
            <w:top w:val="none" w:sz="0" w:space="0" w:color="auto"/>
            <w:left w:val="none" w:sz="0" w:space="0" w:color="auto"/>
            <w:bottom w:val="none" w:sz="0" w:space="0" w:color="auto"/>
            <w:right w:val="none" w:sz="0" w:space="0" w:color="auto"/>
          </w:divBdr>
          <w:divsChild>
            <w:div w:id="2045326884">
              <w:marLeft w:val="0"/>
              <w:marRight w:val="0"/>
              <w:marTop w:val="0"/>
              <w:marBottom w:val="0"/>
              <w:divBdr>
                <w:top w:val="none" w:sz="0" w:space="0" w:color="auto"/>
                <w:left w:val="none" w:sz="0" w:space="0" w:color="auto"/>
                <w:bottom w:val="none" w:sz="0" w:space="0" w:color="auto"/>
                <w:right w:val="none" w:sz="0" w:space="0" w:color="auto"/>
              </w:divBdr>
            </w:div>
          </w:divsChild>
        </w:div>
        <w:div w:id="526406203">
          <w:marLeft w:val="0"/>
          <w:marRight w:val="0"/>
          <w:marTop w:val="0"/>
          <w:marBottom w:val="0"/>
          <w:divBdr>
            <w:top w:val="none" w:sz="0" w:space="0" w:color="auto"/>
            <w:left w:val="none" w:sz="0" w:space="0" w:color="auto"/>
            <w:bottom w:val="none" w:sz="0" w:space="0" w:color="auto"/>
            <w:right w:val="none" w:sz="0" w:space="0" w:color="auto"/>
          </w:divBdr>
          <w:divsChild>
            <w:div w:id="6115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6892">
      <w:bodyDiv w:val="1"/>
      <w:marLeft w:val="0"/>
      <w:marRight w:val="0"/>
      <w:marTop w:val="0"/>
      <w:marBottom w:val="0"/>
      <w:divBdr>
        <w:top w:val="none" w:sz="0" w:space="0" w:color="auto"/>
        <w:left w:val="none" w:sz="0" w:space="0" w:color="auto"/>
        <w:bottom w:val="none" w:sz="0" w:space="0" w:color="auto"/>
        <w:right w:val="none" w:sz="0" w:space="0" w:color="auto"/>
      </w:divBdr>
    </w:div>
    <w:div w:id="1365446008">
      <w:bodyDiv w:val="1"/>
      <w:marLeft w:val="0"/>
      <w:marRight w:val="0"/>
      <w:marTop w:val="0"/>
      <w:marBottom w:val="0"/>
      <w:divBdr>
        <w:top w:val="none" w:sz="0" w:space="0" w:color="auto"/>
        <w:left w:val="none" w:sz="0" w:space="0" w:color="auto"/>
        <w:bottom w:val="none" w:sz="0" w:space="0" w:color="auto"/>
        <w:right w:val="none" w:sz="0" w:space="0" w:color="auto"/>
      </w:divBdr>
    </w:div>
    <w:div w:id="1792821189">
      <w:bodyDiv w:val="1"/>
      <w:marLeft w:val="0"/>
      <w:marRight w:val="0"/>
      <w:marTop w:val="0"/>
      <w:marBottom w:val="0"/>
      <w:divBdr>
        <w:top w:val="none" w:sz="0" w:space="0" w:color="auto"/>
        <w:left w:val="none" w:sz="0" w:space="0" w:color="auto"/>
        <w:bottom w:val="none" w:sz="0" w:space="0" w:color="auto"/>
        <w:right w:val="none" w:sz="0" w:space="0" w:color="auto"/>
      </w:divBdr>
    </w:div>
    <w:div w:id="1850409169">
      <w:bodyDiv w:val="1"/>
      <w:marLeft w:val="0"/>
      <w:marRight w:val="0"/>
      <w:marTop w:val="0"/>
      <w:marBottom w:val="0"/>
      <w:divBdr>
        <w:top w:val="none" w:sz="0" w:space="0" w:color="auto"/>
        <w:left w:val="none" w:sz="0" w:space="0" w:color="auto"/>
        <w:bottom w:val="none" w:sz="0" w:space="0" w:color="auto"/>
        <w:right w:val="none" w:sz="0" w:space="0" w:color="auto"/>
      </w:divBdr>
    </w:div>
    <w:div w:id="190024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UNICATT\Desktop\formato%20prog.per%20gui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Settings\paola.fiori.UNICATT\Desktop\formato prog.per guida.dot</Template>
  <TotalTime>5</TotalTime>
  <Pages>3</Pages>
  <Words>948</Words>
  <Characters>5405</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Fornari Edoardo (edoardo.fornari)</cp:lastModifiedBy>
  <cp:revision>4</cp:revision>
  <cp:lastPrinted>2020-04-30T15:36:00Z</cp:lastPrinted>
  <dcterms:created xsi:type="dcterms:W3CDTF">2021-05-12T15:49:00Z</dcterms:created>
  <dcterms:modified xsi:type="dcterms:W3CDTF">2021-05-12T15:53:00Z</dcterms:modified>
</cp:coreProperties>
</file>