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360" w14:textId="051BB3D1" w:rsidR="00994C39" w:rsidRPr="00324355" w:rsidRDefault="00CC0E14" w:rsidP="00994C39">
      <w:pPr>
        <w:pStyle w:val="Titolo1"/>
      </w:pPr>
      <w:r>
        <w:t xml:space="preserve">. - </w:t>
      </w:r>
      <w:r w:rsidR="00994C39" w:rsidRPr="00324355">
        <w:t xml:space="preserve">Economia Aziendale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662FB91" w14:textId="171D8842" w:rsidR="00790EF5" w:rsidRDefault="005C2ED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</w:t>
      </w:r>
      <w:r w:rsidR="00790EF5" w:rsidRPr="005507B9">
        <w:t>e scelte di aggregazione interaziendale;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7777777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</w:p>
    <w:p w14:paraId="06030973" w14:textId="0725CBD9" w:rsidR="00994C39" w:rsidRPr="00943548" w:rsidRDefault="00994C39" w:rsidP="005F646A">
      <w:pPr>
        <w:pStyle w:val="Testo1"/>
        <w:spacing w:after="120" w:line="240" w:lineRule="atLeast"/>
        <w:rPr>
          <w:spacing w:val="-5"/>
          <w:sz w:val="20"/>
        </w:rPr>
      </w:pPr>
      <w:r w:rsidRPr="00943548">
        <w:rPr>
          <w:smallCaps/>
          <w:spacing w:val="-5"/>
          <w:sz w:val="20"/>
        </w:rPr>
        <w:t>G. Airoldi-G. Brunetti-V. Coda,</w:t>
      </w:r>
      <w:r w:rsidRPr="00943548">
        <w:rPr>
          <w:i/>
          <w:spacing w:val="-5"/>
          <w:sz w:val="20"/>
        </w:rPr>
        <w:t xml:space="preserve"> Corso di economia aziendale,</w:t>
      </w:r>
      <w:r w:rsidR="005C2EDB" w:rsidRPr="00943548">
        <w:rPr>
          <w:spacing w:val="-5"/>
          <w:sz w:val="20"/>
        </w:rPr>
        <w:t xml:space="preserve"> Il Mulino, Bologna, 2005,</w:t>
      </w:r>
      <w:r w:rsidRPr="00943548">
        <w:rPr>
          <w:spacing w:val="-5"/>
          <w:sz w:val="20"/>
        </w:rPr>
        <w:t xml:space="preserve">  </w:t>
      </w:r>
      <w:r w:rsidR="00AB40AB" w:rsidRPr="00943548">
        <w:rPr>
          <w:spacing w:val="-5"/>
          <w:sz w:val="20"/>
        </w:rPr>
        <w:t>capp. 1, 2, 3, 4, 5, 6</w:t>
      </w:r>
      <w:r w:rsidR="00AB661F" w:rsidRPr="00943548">
        <w:rPr>
          <w:spacing w:val="-5"/>
          <w:sz w:val="20"/>
        </w:rPr>
        <w:t xml:space="preserve"> (fino al 6.4 incluso)</w:t>
      </w:r>
      <w:r w:rsidRPr="00943548">
        <w:rPr>
          <w:spacing w:val="-5"/>
          <w:sz w:val="20"/>
        </w:rPr>
        <w:t>, 9,</w:t>
      </w:r>
      <w:r w:rsidR="00567B05" w:rsidRPr="00943548">
        <w:rPr>
          <w:spacing w:val="-5"/>
          <w:sz w:val="20"/>
        </w:rPr>
        <w:t xml:space="preserve"> 10, 11, 12, 14</w:t>
      </w:r>
      <w:r w:rsidRPr="00943548">
        <w:rPr>
          <w:spacing w:val="-5"/>
          <w:sz w:val="20"/>
        </w:rPr>
        <w:t>, 16, 17.</w:t>
      </w:r>
    </w:p>
    <w:p w14:paraId="41F4E298" w14:textId="77777777" w:rsidR="00F40698" w:rsidRDefault="00F40698" w:rsidP="00F40698">
      <w:pPr>
        <w:pStyle w:val="Testo2"/>
        <w:ind w:firstLine="0"/>
        <w:rPr>
          <w:sz w:val="20"/>
        </w:rPr>
      </w:pPr>
    </w:p>
    <w:p w14:paraId="6027A6CF" w14:textId="6B6B74B1" w:rsidR="00F40698" w:rsidRPr="00F40698" w:rsidRDefault="00F40698" w:rsidP="00F21157">
      <w:pPr>
        <w:pStyle w:val="Testo2"/>
        <w:rPr>
          <w:sz w:val="20"/>
        </w:rPr>
      </w:pPr>
      <w:r>
        <w:rPr>
          <w:sz w:val="20"/>
        </w:rPr>
        <w:t xml:space="preserve">Il materiale didattico comprende </w:t>
      </w:r>
      <w:r w:rsidRPr="00F40698">
        <w:rPr>
          <w:sz w:val="20"/>
        </w:rPr>
        <w:t>slide</w:t>
      </w:r>
      <w:r>
        <w:rPr>
          <w:sz w:val="20"/>
        </w:rPr>
        <w:t xml:space="preserve">, casi ed esercizi che saranno resi disponibili dal docente attraverso la piattaforma Blackboard. </w:t>
      </w:r>
    </w:p>
    <w:p w14:paraId="3D8E4470" w14:textId="672DB939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DIDATTICA DEL CORSO</w:t>
      </w:r>
    </w:p>
    <w:p w14:paraId="15E4575B" w14:textId="18088BBC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4B3120" w:rsidRPr="00943548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4B3120" w:rsidRPr="00943548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lastRenderedPageBreak/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7A990B90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B145A9" w:rsidRPr="001E1179">
        <w:rPr>
          <w:sz w:val="20"/>
        </w:rPr>
        <w:t>2 ore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5717ACF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55252E8D" w14:textId="63371C4A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1D1D0BBA" w14:textId="7EAA45FD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14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21157">
      <w:pPr>
        <w:pStyle w:val="Testo2"/>
        <w:spacing w:line="240" w:lineRule="exact"/>
        <w:rPr>
          <w:sz w:val="20"/>
        </w:rPr>
      </w:pPr>
      <w:bookmarkStart w:id="0" w:name="_GoBack"/>
      <w:bookmarkEnd w:id="0"/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5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55907"/>
    <w:rsid w:val="00166F6B"/>
    <w:rsid w:val="001A05EF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C30F0"/>
    <w:rsid w:val="004F0F23"/>
    <w:rsid w:val="00533D62"/>
    <w:rsid w:val="005507B9"/>
    <w:rsid w:val="00565809"/>
    <w:rsid w:val="00567B05"/>
    <w:rsid w:val="0057113C"/>
    <w:rsid w:val="00571C66"/>
    <w:rsid w:val="005730DF"/>
    <w:rsid w:val="00592AC5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846F8"/>
    <w:rsid w:val="00AB40AB"/>
    <w:rsid w:val="00AB661F"/>
    <w:rsid w:val="00B145A9"/>
    <w:rsid w:val="00BE2F42"/>
    <w:rsid w:val="00C25611"/>
    <w:rsid w:val="00C44062"/>
    <w:rsid w:val="00CA00FA"/>
    <w:rsid w:val="00CC0E14"/>
    <w:rsid w:val="00D00894"/>
    <w:rsid w:val="00DA2680"/>
    <w:rsid w:val="00E4553B"/>
    <w:rsid w:val="00E54E00"/>
    <w:rsid w:val="00E93C54"/>
    <w:rsid w:val="00F21157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  <w15:docId w15:val="{4CA6F073-E182-4249-9DB7-DC9AA7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406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Dernini Rita Morena</cp:lastModifiedBy>
  <cp:revision>3</cp:revision>
  <cp:lastPrinted>2015-04-21T10:30:00Z</cp:lastPrinted>
  <dcterms:created xsi:type="dcterms:W3CDTF">2020-07-07T11:30:00Z</dcterms:created>
  <dcterms:modified xsi:type="dcterms:W3CDTF">2020-07-07T11:31:00Z</dcterms:modified>
</cp:coreProperties>
</file>