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F200D" w14:textId="77777777" w:rsidR="006C64E5" w:rsidRPr="0091141B" w:rsidRDefault="006C64E5" w:rsidP="006C2365">
      <w:pPr>
        <w:pStyle w:val="Titolo1"/>
        <w:spacing w:before="0"/>
        <w:rPr>
          <w:sz w:val="18"/>
          <w:szCs w:val="18"/>
        </w:rPr>
      </w:pPr>
      <w:r w:rsidRPr="0091141B">
        <w:rPr>
          <w:sz w:val="18"/>
          <w:szCs w:val="18"/>
        </w:rPr>
        <w:t>Sistemi di welfare comparati</w:t>
      </w:r>
    </w:p>
    <w:p w14:paraId="21ED76E7" w14:textId="77777777" w:rsidR="006C64E5" w:rsidRPr="0091141B" w:rsidRDefault="006C64E5" w:rsidP="006C64E5">
      <w:pPr>
        <w:pStyle w:val="Titolo2"/>
        <w:rPr>
          <w:szCs w:val="18"/>
        </w:rPr>
      </w:pPr>
      <w:r w:rsidRPr="0091141B">
        <w:rPr>
          <w:szCs w:val="18"/>
        </w:rPr>
        <w:t>Prof. Luca Pesenti</w:t>
      </w:r>
    </w:p>
    <w:p w14:paraId="2DF75024" w14:textId="77777777" w:rsidR="006F1772" w:rsidRPr="006C2365" w:rsidRDefault="006C64E5" w:rsidP="006C64E5">
      <w:pPr>
        <w:spacing w:before="240" w:after="120"/>
        <w:rPr>
          <w:b/>
          <w:szCs w:val="20"/>
        </w:rPr>
      </w:pPr>
      <w:r w:rsidRPr="006C2365">
        <w:rPr>
          <w:b/>
          <w:i/>
          <w:szCs w:val="20"/>
        </w:rPr>
        <w:t>OBIETTIVO DEL CORSO</w:t>
      </w:r>
      <w:r w:rsidR="00E97897" w:rsidRPr="006C2365">
        <w:rPr>
          <w:b/>
          <w:i/>
          <w:szCs w:val="20"/>
        </w:rPr>
        <w:t xml:space="preserve"> E RISULTATI DI APPRENDIMENTO ATTESI</w:t>
      </w:r>
    </w:p>
    <w:p w14:paraId="03CA2EDA" w14:textId="77777777" w:rsidR="0062432C" w:rsidRPr="0091141B" w:rsidRDefault="0062432C" w:rsidP="006C64E5">
      <w:pPr>
        <w:rPr>
          <w:i/>
          <w:sz w:val="18"/>
          <w:szCs w:val="18"/>
        </w:rPr>
      </w:pPr>
    </w:p>
    <w:p w14:paraId="7E741664" w14:textId="77777777" w:rsidR="0062432C" w:rsidRPr="006C2365" w:rsidRDefault="0062432C" w:rsidP="006C64E5">
      <w:pPr>
        <w:rPr>
          <w:rFonts w:ascii="Times" w:eastAsia="Arial Unicode MS" w:hAnsi="Times" w:cs="Arial Unicode MS"/>
          <w:b/>
          <w:bCs/>
          <w:color w:val="000000"/>
          <w:kern w:val="1"/>
          <w:szCs w:val="20"/>
          <w:lang w:eastAsia="ar-SA"/>
        </w:rPr>
      </w:pPr>
      <w:r w:rsidRPr="006C2365">
        <w:rPr>
          <w:rFonts w:ascii="Times" w:eastAsia="Arial Unicode MS" w:hAnsi="Times" w:cs="Arial Unicode MS"/>
          <w:b/>
          <w:bCs/>
          <w:color w:val="000000"/>
          <w:kern w:val="1"/>
          <w:szCs w:val="20"/>
          <w:lang w:eastAsia="ar-SA"/>
        </w:rPr>
        <w:t>Obiettivo del corso</w:t>
      </w:r>
    </w:p>
    <w:p w14:paraId="468BF92F" w14:textId="68B479DF" w:rsidR="006C64E5" w:rsidRPr="0091141B" w:rsidRDefault="0062432C" w:rsidP="006C64E5">
      <w:pPr>
        <w:rPr>
          <w:sz w:val="18"/>
          <w:szCs w:val="18"/>
        </w:rPr>
      </w:pPr>
      <w:r w:rsidRPr="0091141B">
        <w:rPr>
          <w:sz w:val="18"/>
          <w:szCs w:val="18"/>
        </w:rPr>
        <w:t xml:space="preserve">L’insegnamento si propone di </w:t>
      </w:r>
      <w:r w:rsidR="006C64E5" w:rsidRPr="0091141B">
        <w:rPr>
          <w:sz w:val="18"/>
          <w:szCs w:val="18"/>
        </w:rPr>
        <w:t xml:space="preserve">presentare e discutere </w:t>
      </w:r>
      <w:r w:rsidR="00B84051" w:rsidRPr="0091141B">
        <w:rPr>
          <w:sz w:val="18"/>
          <w:szCs w:val="18"/>
        </w:rPr>
        <w:t>l’evoluzione dei sistemi di protezione sociale in Europa</w:t>
      </w:r>
      <w:r w:rsidR="006C64E5" w:rsidRPr="0091141B">
        <w:rPr>
          <w:i/>
          <w:sz w:val="18"/>
          <w:szCs w:val="18"/>
        </w:rPr>
        <w:t xml:space="preserve">. </w:t>
      </w:r>
      <w:r w:rsidR="006C64E5" w:rsidRPr="0091141B">
        <w:rPr>
          <w:sz w:val="18"/>
          <w:szCs w:val="18"/>
        </w:rPr>
        <w:t xml:space="preserve">Utilizzando metodologie di analisi comparativa </w:t>
      </w:r>
      <w:r w:rsidR="006C64E5" w:rsidRPr="0091141B">
        <w:rPr>
          <w:i/>
          <w:sz w:val="18"/>
          <w:szCs w:val="18"/>
        </w:rPr>
        <w:t>cross-national</w:t>
      </w:r>
      <w:r w:rsidR="006C64E5" w:rsidRPr="0091141B">
        <w:rPr>
          <w:sz w:val="18"/>
          <w:szCs w:val="18"/>
        </w:rPr>
        <w:t>, si evidenzieranno i vettori di convergenza che stanno segnando la trasformazione dei sistemi di protezione sociale dei Paesi europei. Verrà contestualmente mostrato come l’evoluzione dei casi nazionali conservi tratti di originalità, dipendenti dalle caratteristiche socio-culturali, economiche e politico-istituzionali dei sottostanti modelli di capitalismo, sedimentate storicamente in ciascun Paese</w:t>
      </w:r>
      <w:r w:rsidR="00B84051" w:rsidRPr="0091141B">
        <w:rPr>
          <w:sz w:val="18"/>
          <w:szCs w:val="18"/>
        </w:rPr>
        <w:t>, con particolare riferimento allo sviluppo dei modelli di relazioni industriali</w:t>
      </w:r>
      <w:r w:rsidR="006C64E5" w:rsidRPr="0091141B">
        <w:rPr>
          <w:sz w:val="18"/>
          <w:szCs w:val="18"/>
        </w:rPr>
        <w:t>.</w:t>
      </w:r>
    </w:p>
    <w:p w14:paraId="02E3477C" w14:textId="77777777" w:rsidR="0062432C" w:rsidRPr="0091141B" w:rsidRDefault="0062432C" w:rsidP="006C64E5">
      <w:pPr>
        <w:rPr>
          <w:sz w:val="18"/>
          <w:szCs w:val="18"/>
        </w:rPr>
      </w:pPr>
    </w:p>
    <w:p w14:paraId="643A177E" w14:textId="77777777" w:rsidR="0062432C" w:rsidRPr="006C2365" w:rsidRDefault="0062432C" w:rsidP="006C64E5">
      <w:pPr>
        <w:rPr>
          <w:rFonts w:ascii="Times" w:eastAsia="Arial Unicode MS" w:hAnsi="Times" w:cs="Arial Unicode MS"/>
          <w:b/>
          <w:bCs/>
          <w:color w:val="000000"/>
          <w:kern w:val="1"/>
          <w:szCs w:val="20"/>
          <w:lang w:eastAsia="ar-SA"/>
        </w:rPr>
      </w:pPr>
      <w:r w:rsidRPr="006C2365">
        <w:rPr>
          <w:rFonts w:ascii="Times" w:eastAsia="Arial Unicode MS" w:hAnsi="Times" w:cs="Arial Unicode MS"/>
          <w:b/>
          <w:bCs/>
          <w:color w:val="000000"/>
          <w:kern w:val="1"/>
          <w:szCs w:val="20"/>
          <w:lang w:eastAsia="ar-SA"/>
        </w:rPr>
        <w:t>Risultati di apprendimento attesi</w:t>
      </w:r>
    </w:p>
    <w:p w14:paraId="23A42680" w14:textId="6236E788" w:rsidR="006730D4" w:rsidRPr="006C2365" w:rsidRDefault="006730D4" w:rsidP="006730D4">
      <w:pPr>
        <w:rPr>
          <w:rFonts w:ascii="Times" w:eastAsia="Arial Unicode MS" w:hAnsi="Times" w:cs="Arial Unicode MS"/>
          <w:color w:val="000000"/>
          <w:kern w:val="1"/>
          <w:szCs w:val="20"/>
          <w:lang w:eastAsia="ar-SA"/>
        </w:rPr>
      </w:pPr>
      <w:r w:rsidRPr="006C2365">
        <w:rPr>
          <w:rFonts w:ascii="Times" w:eastAsia="Arial Unicode MS" w:hAnsi="Times" w:cs="Arial Unicode MS"/>
          <w:color w:val="000000"/>
          <w:kern w:val="1"/>
          <w:szCs w:val="20"/>
          <w:lang w:eastAsia="ar-SA"/>
        </w:rPr>
        <w:t xml:space="preserve">Al termine del corso lo studente sarà in grado di orientarsi all’interno dei modelli di </w:t>
      </w:r>
      <w:proofErr w:type="gramStart"/>
      <w:r w:rsidRPr="006C2365">
        <w:rPr>
          <w:rFonts w:ascii="Times" w:eastAsia="Arial Unicode MS" w:hAnsi="Times" w:cs="Arial Unicode MS"/>
          <w:color w:val="000000"/>
          <w:kern w:val="1"/>
          <w:szCs w:val="20"/>
          <w:lang w:eastAsia="ar-SA"/>
        </w:rPr>
        <w:t>welfare</w:t>
      </w:r>
      <w:proofErr w:type="gramEnd"/>
      <w:r w:rsidRPr="006C2365">
        <w:rPr>
          <w:rFonts w:ascii="Times" w:eastAsia="Arial Unicode MS" w:hAnsi="Times" w:cs="Arial Unicode MS"/>
          <w:color w:val="000000"/>
          <w:kern w:val="1"/>
          <w:szCs w:val="20"/>
          <w:lang w:eastAsia="ar-SA"/>
        </w:rPr>
        <w:t>, identificandone le caratteristiche peculiari nell’ambito della più ampia riflessione sui modelli di capitalismo entro i quali si inseriscono. Al contempo lo studente sarà in grado di leggere, analizzare e interpretare i principali indicatori relativi alle grandi aree di policy analizzate, sapendo utilizzare adeguatamente gli strumenti metodologici della comparazione</w:t>
      </w:r>
      <w:r w:rsidR="00B84051" w:rsidRPr="006C2365">
        <w:rPr>
          <w:rFonts w:ascii="Times" w:eastAsia="Arial Unicode MS" w:hAnsi="Times" w:cs="Arial Unicode MS"/>
          <w:color w:val="000000"/>
          <w:kern w:val="1"/>
          <w:szCs w:val="20"/>
          <w:lang w:eastAsia="ar-SA"/>
        </w:rPr>
        <w:t xml:space="preserve"> e approfondendo specifici elementi-chiave per la tenuta e lo sviluppo dei sistemi di welfare e di relazioni industriali</w:t>
      </w:r>
      <w:r w:rsidRPr="006C2365">
        <w:rPr>
          <w:rFonts w:ascii="Times" w:eastAsia="Arial Unicode MS" w:hAnsi="Times" w:cs="Arial Unicode MS"/>
          <w:color w:val="000000"/>
          <w:kern w:val="1"/>
          <w:szCs w:val="20"/>
          <w:lang w:eastAsia="ar-SA"/>
        </w:rPr>
        <w:t xml:space="preserve">. </w:t>
      </w:r>
    </w:p>
    <w:p w14:paraId="6B65D24A" w14:textId="77777777" w:rsidR="006C64E5" w:rsidRPr="006C2365" w:rsidRDefault="006C64E5" w:rsidP="006C64E5">
      <w:pPr>
        <w:spacing w:before="240" w:after="120"/>
        <w:rPr>
          <w:b/>
          <w:szCs w:val="20"/>
        </w:rPr>
      </w:pPr>
      <w:r w:rsidRPr="006C2365">
        <w:rPr>
          <w:b/>
          <w:i/>
          <w:szCs w:val="20"/>
        </w:rPr>
        <w:t>PROGRAMMA DEL CORSO</w:t>
      </w:r>
    </w:p>
    <w:p w14:paraId="3C416043" w14:textId="77777777" w:rsidR="006C64E5" w:rsidRPr="0091141B" w:rsidRDefault="006C64E5" w:rsidP="006C64E5">
      <w:pPr>
        <w:rPr>
          <w:sz w:val="18"/>
          <w:szCs w:val="18"/>
        </w:rPr>
      </w:pPr>
      <w:r w:rsidRPr="0091141B">
        <w:rPr>
          <w:sz w:val="18"/>
          <w:szCs w:val="18"/>
        </w:rPr>
        <w:t>Il corso si articola in due moduli e affronterà i seguenti contenuti:</w:t>
      </w:r>
    </w:p>
    <w:p w14:paraId="1887E2D4" w14:textId="77777777" w:rsidR="00C13ADA" w:rsidRPr="0091141B" w:rsidRDefault="00C13ADA" w:rsidP="00C13ADA">
      <w:pPr>
        <w:rPr>
          <w:smallCaps/>
          <w:sz w:val="18"/>
          <w:szCs w:val="18"/>
        </w:rPr>
      </w:pPr>
    </w:p>
    <w:p w14:paraId="51ED674A" w14:textId="2F6F06DF" w:rsidR="00C13ADA" w:rsidRPr="0091141B" w:rsidRDefault="00C13ADA" w:rsidP="00C13ADA">
      <w:pPr>
        <w:rPr>
          <w:smallCaps/>
          <w:sz w:val="18"/>
          <w:szCs w:val="18"/>
        </w:rPr>
      </w:pPr>
      <w:r w:rsidRPr="0091141B">
        <w:rPr>
          <w:smallCaps/>
          <w:sz w:val="18"/>
          <w:szCs w:val="18"/>
        </w:rPr>
        <w:t xml:space="preserve">Prima parte: </w:t>
      </w:r>
      <w:r w:rsidRPr="0091141B">
        <w:rPr>
          <w:i/>
          <w:sz w:val="18"/>
          <w:szCs w:val="18"/>
        </w:rPr>
        <w:t xml:space="preserve">I sistemi di welfare </w:t>
      </w:r>
      <w:r w:rsidR="009939CB">
        <w:rPr>
          <w:i/>
          <w:sz w:val="18"/>
          <w:szCs w:val="18"/>
        </w:rPr>
        <w:t>in Europa tra vecchi e nuovi rischi sociali</w:t>
      </w:r>
    </w:p>
    <w:p w14:paraId="4332054F" w14:textId="1EDC8860" w:rsidR="007D5C82" w:rsidRPr="0091141B" w:rsidRDefault="00BD6612" w:rsidP="00C13ADA">
      <w:pPr>
        <w:rPr>
          <w:sz w:val="18"/>
          <w:szCs w:val="18"/>
        </w:rPr>
      </w:pPr>
      <w:r w:rsidRPr="0091141B">
        <w:rPr>
          <w:sz w:val="18"/>
          <w:szCs w:val="18"/>
        </w:rPr>
        <w:t>Le</w:t>
      </w:r>
      <w:r w:rsidR="00C13ADA" w:rsidRPr="0091141B">
        <w:rPr>
          <w:sz w:val="18"/>
          <w:szCs w:val="18"/>
        </w:rPr>
        <w:t xml:space="preserve"> diseguaglianze sociali; breve storia del welfare; il problema della comparazione; teorie, modelli e critiche; i nuovi rischi sociali; i sistemi di welfare come sotto-sistema dei modelli di capitalismo; i fattori strutturali della </w:t>
      </w:r>
      <w:proofErr w:type="spellStart"/>
      <w:r w:rsidR="00C13ADA" w:rsidRPr="0091141B">
        <w:rPr>
          <w:i/>
          <w:sz w:val="18"/>
          <w:szCs w:val="18"/>
        </w:rPr>
        <w:t>path</w:t>
      </w:r>
      <w:proofErr w:type="spellEnd"/>
      <w:r w:rsidR="00C13ADA" w:rsidRPr="0091141B">
        <w:rPr>
          <w:i/>
          <w:sz w:val="18"/>
          <w:szCs w:val="18"/>
        </w:rPr>
        <w:t xml:space="preserve"> </w:t>
      </w:r>
      <w:proofErr w:type="spellStart"/>
      <w:r w:rsidR="00C13ADA" w:rsidRPr="0091141B">
        <w:rPr>
          <w:i/>
          <w:sz w:val="18"/>
          <w:szCs w:val="18"/>
        </w:rPr>
        <w:t>dependency</w:t>
      </w:r>
      <w:proofErr w:type="spellEnd"/>
      <w:r w:rsidR="009939CB">
        <w:rPr>
          <w:sz w:val="18"/>
          <w:szCs w:val="18"/>
        </w:rPr>
        <w:t xml:space="preserve">; la politica pensionistica; le politiche del lavoro. </w:t>
      </w:r>
      <w:r w:rsidR="00C13ADA" w:rsidRPr="0091141B">
        <w:rPr>
          <w:sz w:val="18"/>
          <w:szCs w:val="18"/>
        </w:rPr>
        <w:t xml:space="preserve">Approfondimenti su </w:t>
      </w:r>
      <w:r w:rsidR="009939CB">
        <w:rPr>
          <w:sz w:val="18"/>
          <w:szCs w:val="18"/>
        </w:rPr>
        <w:t>due</w:t>
      </w:r>
      <w:r w:rsidR="00C13ADA" w:rsidRPr="0091141B">
        <w:rPr>
          <w:sz w:val="18"/>
          <w:szCs w:val="18"/>
        </w:rPr>
        <w:t xml:space="preserve"> aree di </w:t>
      </w:r>
      <w:r w:rsidR="00C13ADA" w:rsidRPr="0091141B">
        <w:rPr>
          <w:i/>
          <w:sz w:val="18"/>
          <w:szCs w:val="18"/>
        </w:rPr>
        <w:t xml:space="preserve">policy </w:t>
      </w:r>
      <w:r w:rsidR="00C13ADA" w:rsidRPr="0091141B">
        <w:rPr>
          <w:sz w:val="18"/>
          <w:szCs w:val="18"/>
        </w:rPr>
        <w:t xml:space="preserve">specifiche: conciliazione vita-lavoro, transizioni scuola-lavoro. </w:t>
      </w:r>
      <w:r w:rsidR="007D5C82" w:rsidRPr="0091141B">
        <w:rPr>
          <w:sz w:val="18"/>
          <w:szCs w:val="18"/>
        </w:rPr>
        <w:t xml:space="preserve">Verranno inoltre proposti approfondimenti a scelta su tematiche strategiche, emerse anche alla luce della crisi pandemica. </w:t>
      </w:r>
    </w:p>
    <w:p w14:paraId="212C8B49" w14:textId="4D6C347A" w:rsidR="00C13ADA" w:rsidRDefault="00C13ADA" w:rsidP="00C13ADA">
      <w:pPr>
        <w:rPr>
          <w:sz w:val="18"/>
          <w:szCs w:val="18"/>
        </w:rPr>
      </w:pPr>
      <w:r w:rsidRPr="0091141B">
        <w:rPr>
          <w:sz w:val="18"/>
          <w:szCs w:val="18"/>
        </w:rPr>
        <w:t>Agli studenti verrà richiesto di affrontare i temi</w:t>
      </w:r>
      <w:r w:rsidR="00BD6612" w:rsidRPr="0091141B">
        <w:rPr>
          <w:sz w:val="18"/>
          <w:szCs w:val="18"/>
        </w:rPr>
        <w:t xml:space="preserve"> avendo la capacità di</w:t>
      </w:r>
      <w:r w:rsidRPr="0091141B">
        <w:rPr>
          <w:sz w:val="18"/>
          <w:szCs w:val="18"/>
        </w:rPr>
        <w:t xml:space="preserve"> aggiorna</w:t>
      </w:r>
      <w:r w:rsidR="00BD6612" w:rsidRPr="0091141B">
        <w:rPr>
          <w:sz w:val="18"/>
          <w:szCs w:val="18"/>
        </w:rPr>
        <w:t>re le informazioni presenti nei testi</w:t>
      </w:r>
      <w:r w:rsidRPr="0091141B">
        <w:rPr>
          <w:sz w:val="18"/>
          <w:szCs w:val="18"/>
        </w:rPr>
        <w:t xml:space="preserve"> con propri approfondimenti</w:t>
      </w:r>
      <w:r w:rsidR="00BD6612" w:rsidRPr="0091141B">
        <w:rPr>
          <w:sz w:val="18"/>
          <w:szCs w:val="18"/>
        </w:rPr>
        <w:t xml:space="preserve"> specifici</w:t>
      </w:r>
      <w:r w:rsidRPr="0091141B">
        <w:rPr>
          <w:sz w:val="18"/>
          <w:szCs w:val="18"/>
        </w:rPr>
        <w:t xml:space="preserve">. </w:t>
      </w:r>
    </w:p>
    <w:p w14:paraId="2FCF1AC2" w14:textId="77777777" w:rsidR="00FD6EDD" w:rsidRPr="0091141B" w:rsidRDefault="00FD6EDD" w:rsidP="00C13ADA">
      <w:pPr>
        <w:rPr>
          <w:sz w:val="18"/>
          <w:szCs w:val="18"/>
        </w:rPr>
      </w:pPr>
    </w:p>
    <w:p w14:paraId="0027DECE" w14:textId="7ABA3B4D" w:rsidR="00705151" w:rsidRPr="0091141B" w:rsidRDefault="00705151" w:rsidP="00705151">
      <w:pPr>
        <w:spacing w:before="120"/>
        <w:rPr>
          <w:i/>
          <w:sz w:val="18"/>
          <w:szCs w:val="18"/>
        </w:rPr>
      </w:pPr>
      <w:r w:rsidRPr="0091141B">
        <w:rPr>
          <w:smallCaps/>
          <w:sz w:val="18"/>
          <w:szCs w:val="18"/>
        </w:rPr>
        <w:t xml:space="preserve">Seconda parte: </w:t>
      </w:r>
      <w:r w:rsidR="00940A0F" w:rsidRPr="0091141B">
        <w:rPr>
          <w:i/>
          <w:sz w:val="18"/>
          <w:szCs w:val="18"/>
        </w:rPr>
        <w:t xml:space="preserve">Le relazioni industriali </w:t>
      </w:r>
    </w:p>
    <w:p w14:paraId="0F2BF92F" w14:textId="61725881" w:rsidR="00C13ADA" w:rsidRPr="0091141B" w:rsidRDefault="00C13ADA" w:rsidP="00705151">
      <w:pPr>
        <w:spacing w:before="120"/>
        <w:rPr>
          <w:sz w:val="18"/>
          <w:szCs w:val="18"/>
        </w:rPr>
      </w:pPr>
      <w:r w:rsidRPr="0091141B">
        <w:rPr>
          <w:sz w:val="18"/>
          <w:szCs w:val="18"/>
        </w:rPr>
        <w:lastRenderedPageBreak/>
        <w:t xml:space="preserve">Che cosa sono le relazioni industriali: gli attori, il contesto, le regole; gli attori sindacali; </w:t>
      </w:r>
      <w:r w:rsidR="00BD6612" w:rsidRPr="0091141B">
        <w:rPr>
          <w:sz w:val="18"/>
          <w:szCs w:val="18"/>
        </w:rPr>
        <w:t>il funzionamento e i livelli del</w:t>
      </w:r>
      <w:r w:rsidRPr="0091141B">
        <w:rPr>
          <w:sz w:val="18"/>
          <w:szCs w:val="18"/>
        </w:rPr>
        <w:t xml:space="preserve">la contrattazione collettiva; gli attori del dialogo sociale nella prospettiva europea: caratteristiche e problemi aperti. Specifico approfondimento sarà rivolto al </w:t>
      </w:r>
      <w:r w:rsidR="007D5C82" w:rsidRPr="0091141B">
        <w:rPr>
          <w:sz w:val="18"/>
          <w:szCs w:val="18"/>
        </w:rPr>
        <w:t>“</w:t>
      </w:r>
      <w:r w:rsidRPr="0091141B">
        <w:rPr>
          <w:sz w:val="18"/>
          <w:szCs w:val="18"/>
        </w:rPr>
        <w:t>welfare</w:t>
      </w:r>
      <w:r w:rsidR="007D5C82" w:rsidRPr="0091141B">
        <w:rPr>
          <w:sz w:val="18"/>
          <w:szCs w:val="18"/>
        </w:rPr>
        <w:t xml:space="preserve"> occupazionale”</w:t>
      </w:r>
      <w:r w:rsidRPr="0091141B">
        <w:rPr>
          <w:sz w:val="18"/>
          <w:szCs w:val="18"/>
        </w:rPr>
        <w:t xml:space="preserve"> nell’ambito delle relazioni industriali</w:t>
      </w:r>
      <w:r w:rsidR="007D5C82" w:rsidRPr="0091141B">
        <w:rPr>
          <w:sz w:val="18"/>
          <w:szCs w:val="18"/>
        </w:rPr>
        <w:t xml:space="preserve"> nel contesto europeo</w:t>
      </w:r>
      <w:r w:rsidRPr="0091141B">
        <w:rPr>
          <w:sz w:val="18"/>
          <w:szCs w:val="18"/>
        </w:rPr>
        <w:t xml:space="preserve">. </w:t>
      </w:r>
    </w:p>
    <w:p w14:paraId="5DBED2A6" w14:textId="7CA4069D" w:rsidR="000C0E3B" w:rsidRPr="0091141B" w:rsidRDefault="000C0E3B" w:rsidP="00705151">
      <w:pPr>
        <w:spacing w:before="120"/>
        <w:rPr>
          <w:i/>
          <w:sz w:val="18"/>
          <w:szCs w:val="18"/>
        </w:rPr>
      </w:pPr>
    </w:p>
    <w:p w14:paraId="51BDAF47" w14:textId="77777777" w:rsidR="006C64E5" w:rsidRPr="0091141B" w:rsidRDefault="006C64E5" w:rsidP="006C64E5">
      <w:pPr>
        <w:spacing w:before="240" w:after="120"/>
        <w:rPr>
          <w:b/>
          <w:i/>
          <w:sz w:val="18"/>
          <w:szCs w:val="18"/>
        </w:rPr>
      </w:pPr>
      <w:r w:rsidRPr="0091141B">
        <w:rPr>
          <w:b/>
          <w:i/>
          <w:sz w:val="18"/>
          <w:szCs w:val="18"/>
        </w:rPr>
        <w:t>BIBLIOGRAFIA</w:t>
      </w:r>
    </w:p>
    <w:p w14:paraId="74FA0BFC" w14:textId="784519D9" w:rsidR="00D839E0" w:rsidRPr="0091141B" w:rsidRDefault="00D839E0" w:rsidP="006C64E5">
      <w:pPr>
        <w:spacing w:line="240" w:lineRule="atLeast"/>
        <w:ind w:left="284" w:hanging="284"/>
        <w:rPr>
          <w:rFonts w:ascii="Times" w:hAnsi="Times"/>
          <w:smallCaps/>
          <w:spacing w:val="-5"/>
          <w:sz w:val="18"/>
          <w:szCs w:val="18"/>
        </w:rPr>
      </w:pPr>
      <w:r w:rsidRPr="0091141B">
        <w:rPr>
          <w:rFonts w:ascii="Times" w:hAnsi="Times"/>
          <w:smallCaps/>
          <w:spacing w:val="-5"/>
          <w:sz w:val="18"/>
          <w:szCs w:val="18"/>
        </w:rPr>
        <w:t>Per la prima parte</w:t>
      </w:r>
    </w:p>
    <w:p w14:paraId="37AAB08B" w14:textId="77777777" w:rsidR="00657041" w:rsidRPr="0091141B" w:rsidRDefault="00657041" w:rsidP="006C64E5">
      <w:pPr>
        <w:spacing w:line="240" w:lineRule="atLeast"/>
        <w:ind w:left="284" w:hanging="284"/>
        <w:rPr>
          <w:rFonts w:ascii="Times" w:hAnsi="Times"/>
          <w:i/>
          <w:smallCaps/>
          <w:spacing w:val="-5"/>
          <w:sz w:val="18"/>
          <w:szCs w:val="18"/>
        </w:rPr>
      </w:pPr>
    </w:p>
    <w:p w14:paraId="2A4390DA" w14:textId="22BEFC33" w:rsidR="00657041" w:rsidRPr="0091141B" w:rsidRDefault="000C0E3B" w:rsidP="006C64E5">
      <w:pPr>
        <w:spacing w:line="240" w:lineRule="atLeast"/>
        <w:ind w:left="284" w:hanging="284"/>
        <w:rPr>
          <w:rFonts w:ascii="Times" w:hAnsi="Times"/>
          <w:i/>
          <w:smallCaps/>
          <w:spacing w:val="-5"/>
          <w:sz w:val="18"/>
          <w:szCs w:val="18"/>
        </w:rPr>
      </w:pPr>
      <w:r w:rsidRPr="0091141B">
        <w:rPr>
          <w:rFonts w:ascii="Times" w:hAnsi="Times"/>
          <w:i/>
          <w:smallCaps/>
          <w:spacing w:val="-5"/>
          <w:sz w:val="18"/>
          <w:szCs w:val="18"/>
        </w:rPr>
        <w:t>Monografia</w:t>
      </w:r>
    </w:p>
    <w:p w14:paraId="1279F7D4" w14:textId="5E05BF1A" w:rsidR="00C13ADA" w:rsidRPr="0091141B" w:rsidRDefault="0091141B" w:rsidP="00C13ADA">
      <w:pPr>
        <w:spacing w:line="240" w:lineRule="atLeast"/>
        <w:ind w:left="284" w:hanging="284"/>
        <w:rPr>
          <w:rFonts w:ascii="Times" w:hAnsi="Times"/>
          <w:spacing w:val="-5"/>
          <w:sz w:val="18"/>
          <w:szCs w:val="18"/>
        </w:rPr>
      </w:pPr>
      <w:bookmarkStart w:id="0" w:name="_Hlk132629629"/>
      <w:r w:rsidRPr="006C2365">
        <w:rPr>
          <w:rFonts w:ascii="Times" w:hAnsi="Times"/>
          <w:smallCaps/>
          <w:spacing w:val="-5"/>
          <w:sz w:val="16"/>
          <w:szCs w:val="16"/>
        </w:rPr>
        <w:t>M. Ferrera</w:t>
      </w:r>
      <w:r w:rsidRPr="0091141B">
        <w:rPr>
          <w:rFonts w:ascii="Times" w:hAnsi="Times"/>
          <w:smallCaps/>
          <w:spacing w:val="-5"/>
          <w:sz w:val="18"/>
          <w:szCs w:val="18"/>
        </w:rPr>
        <w:t xml:space="preserve"> (a cura di)</w:t>
      </w:r>
      <w:r w:rsidR="00C13ADA" w:rsidRPr="0091141B">
        <w:rPr>
          <w:rFonts w:ascii="Times" w:hAnsi="Times"/>
          <w:smallCaps/>
          <w:spacing w:val="-5"/>
          <w:sz w:val="18"/>
          <w:szCs w:val="18"/>
        </w:rPr>
        <w:t xml:space="preserve">, </w:t>
      </w:r>
      <w:r w:rsidR="00C13ADA" w:rsidRPr="0091141B">
        <w:rPr>
          <w:rFonts w:ascii="Times" w:hAnsi="Times"/>
          <w:i/>
          <w:spacing w:val="-5"/>
          <w:sz w:val="18"/>
          <w:szCs w:val="18"/>
        </w:rPr>
        <w:t xml:space="preserve">Le politiche </w:t>
      </w:r>
      <w:r w:rsidRPr="0091141B">
        <w:rPr>
          <w:rFonts w:ascii="Times" w:hAnsi="Times"/>
          <w:i/>
          <w:spacing w:val="-5"/>
          <w:sz w:val="18"/>
          <w:szCs w:val="18"/>
        </w:rPr>
        <w:t>sociali</w:t>
      </w:r>
      <w:r w:rsidR="00C13ADA" w:rsidRPr="0091141B">
        <w:rPr>
          <w:rFonts w:ascii="Times" w:hAnsi="Times"/>
          <w:i/>
          <w:spacing w:val="-5"/>
          <w:sz w:val="18"/>
          <w:szCs w:val="18"/>
        </w:rPr>
        <w:t>,</w:t>
      </w:r>
      <w:r w:rsidR="00C13ADA" w:rsidRPr="0091141B">
        <w:rPr>
          <w:rFonts w:ascii="Times" w:hAnsi="Times"/>
          <w:spacing w:val="-5"/>
          <w:sz w:val="18"/>
          <w:szCs w:val="18"/>
        </w:rPr>
        <w:t xml:space="preserve"> Il Mulino, Bologna, 201</w:t>
      </w:r>
      <w:r w:rsidRPr="0091141B">
        <w:rPr>
          <w:rFonts w:ascii="Times" w:hAnsi="Times"/>
          <w:spacing w:val="-5"/>
          <w:sz w:val="18"/>
          <w:szCs w:val="18"/>
        </w:rPr>
        <w:t>9</w:t>
      </w:r>
      <w:r w:rsidR="00C13ADA" w:rsidRPr="0091141B">
        <w:rPr>
          <w:rFonts w:ascii="Times" w:hAnsi="Times"/>
          <w:spacing w:val="-5"/>
          <w:sz w:val="18"/>
          <w:szCs w:val="18"/>
        </w:rPr>
        <w:t xml:space="preserve"> (</w:t>
      </w:r>
      <w:r w:rsidR="001833D3" w:rsidRPr="0091141B">
        <w:rPr>
          <w:rFonts w:ascii="Times" w:hAnsi="Times"/>
          <w:spacing w:val="-5"/>
          <w:sz w:val="18"/>
          <w:szCs w:val="18"/>
        </w:rPr>
        <w:t xml:space="preserve">solo </w:t>
      </w:r>
      <w:proofErr w:type="spellStart"/>
      <w:r w:rsidR="001833D3" w:rsidRPr="0091141B">
        <w:rPr>
          <w:rFonts w:ascii="Times" w:hAnsi="Times"/>
          <w:spacing w:val="-5"/>
          <w:sz w:val="18"/>
          <w:szCs w:val="18"/>
        </w:rPr>
        <w:t>capp</w:t>
      </w:r>
      <w:proofErr w:type="spellEnd"/>
      <w:r w:rsidR="00C13ADA" w:rsidRPr="0091141B">
        <w:rPr>
          <w:rFonts w:ascii="Times" w:hAnsi="Times"/>
          <w:spacing w:val="-5"/>
          <w:sz w:val="18"/>
          <w:szCs w:val="18"/>
        </w:rPr>
        <w:t>.</w:t>
      </w:r>
      <w:r w:rsidR="001833D3" w:rsidRPr="0091141B">
        <w:rPr>
          <w:rFonts w:ascii="Times" w:hAnsi="Times"/>
          <w:spacing w:val="-5"/>
          <w:sz w:val="18"/>
          <w:szCs w:val="18"/>
        </w:rPr>
        <w:t xml:space="preserve"> 1,2,3)</w:t>
      </w:r>
    </w:p>
    <w:bookmarkEnd w:id="0"/>
    <w:p w14:paraId="2C9FF8F6" w14:textId="77777777" w:rsidR="008A5838" w:rsidRPr="0091141B" w:rsidRDefault="008A5838" w:rsidP="008A5838">
      <w:pPr>
        <w:spacing w:line="240" w:lineRule="atLeast"/>
        <w:ind w:left="284" w:hanging="284"/>
        <w:rPr>
          <w:spacing w:val="-5"/>
          <w:sz w:val="18"/>
          <w:szCs w:val="18"/>
        </w:rPr>
      </w:pPr>
      <w:r w:rsidRPr="006C2365">
        <w:rPr>
          <w:rFonts w:ascii="Times" w:hAnsi="Times"/>
          <w:smallCaps/>
          <w:spacing w:val="-5"/>
          <w:sz w:val="16"/>
          <w:szCs w:val="16"/>
        </w:rPr>
        <w:t>C. Trigilia</w:t>
      </w:r>
      <w:r w:rsidR="00C13ADA" w:rsidRPr="006C2365">
        <w:rPr>
          <w:rFonts w:ascii="Times" w:hAnsi="Times"/>
          <w:smallCaps/>
          <w:spacing w:val="-5"/>
          <w:sz w:val="16"/>
          <w:szCs w:val="16"/>
        </w:rPr>
        <w:t xml:space="preserve">, </w:t>
      </w:r>
      <w:r w:rsidRPr="006C2365">
        <w:rPr>
          <w:rFonts w:ascii="Times" w:hAnsi="Times"/>
          <w:smallCaps/>
          <w:spacing w:val="-5"/>
          <w:sz w:val="16"/>
          <w:szCs w:val="16"/>
        </w:rPr>
        <w:t>C. Trigilia</w:t>
      </w:r>
      <w:r w:rsidRPr="0091141B">
        <w:rPr>
          <w:smallCaps/>
          <w:spacing w:val="-5"/>
          <w:sz w:val="18"/>
          <w:szCs w:val="18"/>
        </w:rPr>
        <w:t xml:space="preserve"> (a cura di),</w:t>
      </w:r>
      <w:r w:rsidRPr="0091141B">
        <w:rPr>
          <w:i/>
          <w:spacing w:val="-5"/>
          <w:sz w:val="18"/>
          <w:szCs w:val="18"/>
        </w:rPr>
        <w:t xml:space="preserve"> Capitalismi e diseguaglianze,</w:t>
      </w:r>
      <w:r w:rsidRPr="0091141B">
        <w:rPr>
          <w:spacing w:val="-5"/>
          <w:sz w:val="18"/>
          <w:szCs w:val="18"/>
        </w:rPr>
        <w:t xml:space="preserve"> Il Mulino, Bologna, 2020 (solo capitolo I e da III a XI).</w:t>
      </w:r>
    </w:p>
    <w:p w14:paraId="57DB911E" w14:textId="6162106D" w:rsidR="000C0E3B" w:rsidRPr="0091141B" w:rsidRDefault="000C0E3B" w:rsidP="006C64E5">
      <w:pPr>
        <w:spacing w:line="240" w:lineRule="atLeast"/>
        <w:ind w:left="284" w:hanging="284"/>
        <w:rPr>
          <w:rFonts w:ascii="Times" w:hAnsi="Times"/>
          <w:smallCaps/>
          <w:spacing w:val="-5"/>
          <w:sz w:val="18"/>
          <w:szCs w:val="18"/>
        </w:rPr>
      </w:pPr>
    </w:p>
    <w:p w14:paraId="0A1D2162" w14:textId="681D7FE4" w:rsidR="00C13ADA" w:rsidRPr="0091141B" w:rsidRDefault="00C13ADA" w:rsidP="00FD6EDD">
      <w:pPr>
        <w:tabs>
          <w:tab w:val="clear" w:pos="284"/>
          <w:tab w:val="left" w:pos="0"/>
        </w:tabs>
        <w:spacing w:line="240" w:lineRule="atLeast"/>
        <w:rPr>
          <w:rFonts w:ascii="Times" w:hAnsi="Times"/>
          <w:spacing w:val="-5"/>
          <w:sz w:val="18"/>
          <w:szCs w:val="18"/>
        </w:rPr>
      </w:pPr>
      <w:r w:rsidRPr="0091141B">
        <w:rPr>
          <w:rFonts w:ascii="Times" w:hAnsi="Times"/>
          <w:smallCaps/>
          <w:spacing w:val="-5"/>
          <w:sz w:val="18"/>
          <w:szCs w:val="18"/>
        </w:rPr>
        <w:t>I</w:t>
      </w:r>
      <w:r w:rsidRPr="0091141B">
        <w:rPr>
          <w:rFonts w:ascii="Times" w:hAnsi="Times"/>
          <w:spacing w:val="-5"/>
          <w:sz w:val="18"/>
          <w:szCs w:val="18"/>
        </w:rPr>
        <w:t>n aggiunt</w:t>
      </w:r>
      <w:r w:rsidR="0033587E" w:rsidRPr="0091141B">
        <w:rPr>
          <w:rFonts w:ascii="Times" w:hAnsi="Times"/>
          <w:spacing w:val="-5"/>
          <w:sz w:val="18"/>
          <w:szCs w:val="18"/>
        </w:rPr>
        <w:t>a,</w:t>
      </w:r>
      <w:r w:rsidRPr="0091141B">
        <w:rPr>
          <w:rFonts w:ascii="Times" w:hAnsi="Times"/>
          <w:spacing w:val="-5"/>
          <w:sz w:val="18"/>
          <w:szCs w:val="18"/>
        </w:rPr>
        <w:t xml:space="preserve"> gli studenti dovranno scegliere </w:t>
      </w:r>
      <w:r w:rsidR="0090699B">
        <w:rPr>
          <w:rFonts w:ascii="Times" w:hAnsi="Times"/>
          <w:spacing w:val="-5"/>
          <w:sz w:val="18"/>
          <w:szCs w:val="18"/>
        </w:rPr>
        <w:t>due</w:t>
      </w:r>
      <w:r w:rsidRPr="0091141B">
        <w:rPr>
          <w:rFonts w:ascii="Times" w:hAnsi="Times"/>
          <w:spacing w:val="-5"/>
          <w:sz w:val="18"/>
          <w:szCs w:val="18"/>
        </w:rPr>
        <w:t xml:space="preserve"> articoli</w:t>
      </w:r>
      <w:r w:rsidR="009939CB">
        <w:rPr>
          <w:rFonts w:ascii="Times" w:hAnsi="Times"/>
          <w:spacing w:val="-5"/>
          <w:sz w:val="18"/>
          <w:szCs w:val="18"/>
        </w:rPr>
        <w:t xml:space="preserve"> (uno in italiano, uno in inglese) tra i seguenti (disponibili su </w:t>
      </w:r>
      <w:proofErr w:type="spellStart"/>
      <w:r w:rsidR="009939CB">
        <w:rPr>
          <w:rFonts w:ascii="Times" w:hAnsi="Times"/>
          <w:spacing w:val="-5"/>
          <w:sz w:val="18"/>
          <w:szCs w:val="18"/>
        </w:rPr>
        <w:t>Blackboard</w:t>
      </w:r>
      <w:proofErr w:type="spellEnd"/>
      <w:r w:rsidR="009939CB">
        <w:rPr>
          <w:rFonts w:ascii="Times" w:hAnsi="Times"/>
          <w:spacing w:val="-5"/>
          <w:sz w:val="18"/>
          <w:szCs w:val="18"/>
        </w:rPr>
        <w:t>)</w:t>
      </w:r>
      <w:r w:rsidRPr="0091141B">
        <w:rPr>
          <w:rFonts w:ascii="Times" w:hAnsi="Times"/>
          <w:spacing w:val="-5"/>
          <w:sz w:val="18"/>
          <w:szCs w:val="18"/>
        </w:rPr>
        <w:t xml:space="preserve">: </w:t>
      </w:r>
    </w:p>
    <w:p w14:paraId="5C06F334" w14:textId="77777777" w:rsidR="007D5C82" w:rsidRPr="0091141B" w:rsidRDefault="007D5C82" w:rsidP="007D5C82">
      <w:pPr>
        <w:rPr>
          <w:smallCaps/>
          <w:color w:val="000000" w:themeColor="text1"/>
          <w:sz w:val="18"/>
          <w:szCs w:val="18"/>
          <w:lang w:eastAsia="en-US"/>
        </w:rPr>
      </w:pPr>
    </w:p>
    <w:p w14:paraId="233DFF65" w14:textId="757C8A47" w:rsidR="00B84051" w:rsidRPr="0091141B" w:rsidRDefault="00B84051" w:rsidP="00B84051">
      <w:pPr>
        <w:rPr>
          <w:iCs/>
          <w:color w:val="000000" w:themeColor="text1"/>
          <w:sz w:val="18"/>
          <w:szCs w:val="18"/>
          <w:lang w:eastAsia="en-US"/>
        </w:rPr>
      </w:pPr>
      <w:r w:rsidRPr="006C2365">
        <w:rPr>
          <w:rFonts w:ascii="Times" w:hAnsi="Times"/>
          <w:smallCaps/>
          <w:spacing w:val="-5"/>
          <w:sz w:val="16"/>
          <w:szCs w:val="16"/>
        </w:rPr>
        <w:t>L. Lionello</w:t>
      </w:r>
      <w:r w:rsidRPr="0091141B">
        <w:rPr>
          <w:smallCaps/>
          <w:color w:val="000000" w:themeColor="text1"/>
          <w:sz w:val="18"/>
          <w:szCs w:val="18"/>
          <w:lang w:eastAsia="en-US"/>
        </w:rPr>
        <w:t xml:space="preserve">, </w:t>
      </w:r>
      <w:r w:rsidRPr="0091141B">
        <w:rPr>
          <w:i/>
          <w:iCs/>
          <w:color w:val="000000" w:themeColor="text1"/>
          <w:sz w:val="18"/>
          <w:szCs w:val="18"/>
          <w:lang w:eastAsia="en-US"/>
        </w:rPr>
        <w:t>Le prospettive della politica sociale dell’Unione eu</w:t>
      </w:r>
      <w:r w:rsidR="009939CB">
        <w:rPr>
          <w:i/>
          <w:iCs/>
          <w:color w:val="000000" w:themeColor="text1"/>
          <w:sz w:val="18"/>
          <w:szCs w:val="18"/>
          <w:lang w:eastAsia="en-US"/>
        </w:rPr>
        <w:t>ro</w:t>
      </w:r>
      <w:r w:rsidRPr="0091141B">
        <w:rPr>
          <w:i/>
          <w:iCs/>
          <w:color w:val="000000" w:themeColor="text1"/>
          <w:sz w:val="18"/>
          <w:szCs w:val="18"/>
          <w:lang w:eastAsia="en-US"/>
        </w:rPr>
        <w:t xml:space="preserve">pea dopo la crisi pandemica, </w:t>
      </w:r>
      <w:r w:rsidRPr="0091141B">
        <w:rPr>
          <w:iCs/>
          <w:color w:val="000000" w:themeColor="text1"/>
          <w:sz w:val="18"/>
          <w:szCs w:val="18"/>
          <w:lang w:eastAsia="en-US"/>
        </w:rPr>
        <w:t>in “Politiche Sociali”</w:t>
      </w:r>
      <w:r w:rsidRPr="0091141B">
        <w:rPr>
          <w:i/>
          <w:iCs/>
          <w:color w:val="000000" w:themeColor="text1"/>
          <w:sz w:val="18"/>
          <w:szCs w:val="18"/>
          <w:lang w:eastAsia="en-US"/>
        </w:rPr>
        <w:t>, 3, settembre-dicembre 2021</w:t>
      </w:r>
      <w:r w:rsidRPr="0091141B">
        <w:rPr>
          <w:iCs/>
          <w:color w:val="000000" w:themeColor="text1"/>
          <w:sz w:val="18"/>
          <w:szCs w:val="18"/>
          <w:lang w:eastAsia="en-US"/>
        </w:rPr>
        <w:t>.</w:t>
      </w:r>
    </w:p>
    <w:p w14:paraId="0D946893" w14:textId="1B9A19E7" w:rsidR="007D5C82" w:rsidRPr="0091141B" w:rsidRDefault="007D5C82" w:rsidP="007D5C82">
      <w:pPr>
        <w:rPr>
          <w:iCs/>
          <w:color w:val="000000" w:themeColor="text1"/>
          <w:sz w:val="18"/>
          <w:szCs w:val="18"/>
          <w:lang w:eastAsia="en-US"/>
        </w:rPr>
      </w:pPr>
      <w:r w:rsidRPr="006C2365">
        <w:rPr>
          <w:rFonts w:ascii="Times" w:hAnsi="Times"/>
          <w:smallCaps/>
          <w:spacing w:val="-5"/>
          <w:sz w:val="16"/>
          <w:szCs w:val="16"/>
        </w:rPr>
        <w:t>F. Tomatis</w:t>
      </w:r>
      <w:r w:rsidRPr="0091141B">
        <w:rPr>
          <w:smallCaps/>
          <w:color w:val="000000" w:themeColor="text1"/>
          <w:sz w:val="18"/>
          <w:szCs w:val="18"/>
          <w:lang w:eastAsia="en-US"/>
        </w:rPr>
        <w:t xml:space="preserve">, </w:t>
      </w:r>
      <w:r w:rsidRPr="0091141B">
        <w:rPr>
          <w:i/>
          <w:iCs/>
          <w:color w:val="000000" w:themeColor="text1"/>
          <w:sz w:val="18"/>
          <w:szCs w:val="18"/>
          <w:lang w:eastAsia="en-US"/>
        </w:rPr>
        <w:t xml:space="preserve">Calo della fecondità in Europa: una questione di policy e di genere, </w:t>
      </w:r>
      <w:r w:rsidRPr="0091141B">
        <w:rPr>
          <w:iCs/>
          <w:color w:val="000000" w:themeColor="text1"/>
          <w:sz w:val="18"/>
          <w:szCs w:val="18"/>
          <w:lang w:eastAsia="en-US"/>
        </w:rPr>
        <w:t>in “Autonomie locali e servizi sociali”</w:t>
      </w:r>
      <w:r w:rsidRPr="0091141B">
        <w:rPr>
          <w:i/>
          <w:iCs/>
          <w:color w:val="000000" w:themeColor="text1"/>
          <w:sz w:val="18"/>
          <w:szCs w:val="18"/>
          <w:lang w:eastAsia="en-US"/>
        </w:rPr>
        <w:t>, 1, aprile 2021</w:t>
      </w:r>
      <w:r w:rsidR="009939CB">
        <w:rPr>
          <w:i/>
          <w:iCs/>
          <w:color w:val="000000" w:themeColor="text1"/>
          <w:sz w:val="18"/>
          <w:szCs w:val="18"/>
          <w:lang w:eastAsia="en-US"/>
        </w:rPr>
        <w:t>.</w:t>
      </w:r>
    </w:p>
    <w:p w14:paraId="7ECA8CFA" w14:textId="746E728B" w:rsidR="009939CB" w:rsidRPr="00586489" w:rsidRDefault="009939CB" w:rsidP="009939CB">
      <w:pPr>
        <w:pStyle w:val="Testo1"/>
        <w:ind w:left="0" w:firstLine="0"/>
        <w:rPr>
          <w:rFonts w:ascii="Times New Roman" w:hAnsi="Times New Roman"/>
          <w:i/>
          <w:iCs/>
          <w:color w:val="000000" w:themeColor="text1"/>
          <w:szCs w:val="18"/>
        </w:rPr>
      </w:pPr>
      <w:r w:rsidRPr="006C2365">
        <w:rPr>
          <w:smallCaps/>
          <w:noProof w:val="0"/>
          <w:spacing w:val="-5"/>
          <w:sz w:val="16"/>
          <w:szCs w:val="16"/>
        </w:rPr>
        <w:t>K. Dadjivassiliou, A. Tassinari, W. Eichhorst, F. Wo</w:t>
      </w:r>
      <w:r>
        <w:rPr>
          <w:rFonts w:ascii="Times New Roman" w:hAnsi="Times New Roman"/>
          <w:smallCaps/>
          <w:szCs w:val="18"/>
        </w:rPr>
        <w:t xml:space="preserve">zny, </w:t>
      </w:r>
      <w:r>
        <w:rPr>
          <w:rFonts w:ascii="Times New Roman" w:hAnsi="Times New Roman"/>
          <w:i/>
          <w:iCs/>
          <w:szCs w:val="18"/>
        </w:rPr>
        <w:t>How does the perfomormance of school-to-work transition regimes vary in the European Union</w:t>
      </w:r>
      <w:r>
        <w:rPr>
          <w:rFonts w:ascii="Times New Roman" w:hAnsi="Times New Roman"/>
          <w:szCs w:val="18"/>
        </w:rPr>
        <w:t xml:space="preserve">, in AA.V.V, </w:t>
      </w:r>
      <w:r>
        <w:rPr>
          <w:rFonts w:ascii="Times New Roman" w:hAnsi="Times New Roman"/>
          <w:i/>
          <w:iCs/>
          <w:szCs w:val="18"/>
        </w:rPr>
        <w:t>Youth labor in transition</w:t>
      </w:r>
      <w:r>
        <w:rPr>
          <w:rFonts w:ascii="Times New Roman" w:hAnsi="Times New Roman"/>
          <w:szCs w:val="18"/>
        </w:rPr>
        <w:t xml:space="preserve">, Oxford University Press, Oxford, 2019. </w:t>
      </w:r>
      <w:r>
        <w:rPr>
          <w:rFonts w:ascii="Times New Roman" w:hAnsi="Times New Roman"/>
          <w:i/>
          <w:iCs/>
          <w:szCs w:val="18"/>
        </w:rPr>
        <w:t xml:space="preserve"> </w:t>
      </w:r>
    </w:p>
    <w:p w14:paraId="4F395E7F" w14:textId="4EC0360E" w:rsidR="0090699B" w:rsidRPr="00586489" w:rsidRDefault="0090699B" w:rsidP="0090699B">
      <w:pPr>
        <w:pStyle w:val="Testo1"/>
        <w:ind w:left="0" w:firstLine="0"/>
        <w:rPr>
          <w:rFonts w:ascii="Times New Roman" w:hAnsi="Times New Roman"/>
          <w:i/>
          <w:iCs/>
          <w:color w:val="000000" w:themeColor="text1"/>
          <w:szCs w:val="18"/>
        </w:rPr>
      </w:pPr>
      <w:r w:rsidRPr="006C2365">
        <w:rPr>
          <w:smallCaps/>
          <w:noProof w:val="0"/>
          <w:spacing w:val="-5"/>
          <w:sz w:val="16"/>
          <w:szCs w:val="16"/>
        </w:rPr>
        <w:t>T. Wiß &amp; B. Greve</w:t>
      </w:r>
      <w:r>
        <w:rPr>
          <w:rFonts w:ascii="Times New Roman" w:hAnsi="Times New Roman"/>
          <w:smallCaps/>
          <w:szCs w:val="18"/>
        </w:rPr>
        <w:t xml:space="preserve">, </w:t>
      </w:r>
      <w:r>
        <w:rPr>
          <w:rFonts w:ascii="Times New Roman" w:hAnsi="Times New Roman"/>
          <w:i/>
          <w:iCs/>
          <w:szCs w:val="18"/>
        </w:rPr>
        <w:t>A comparison of the Interplay of Public and Occupational Work-Family Policies in Austria, Denmark, Italy and the United Kingdom</w:t>
      </w:r>
      <w:r>
        <w:rPr>
          <w:rFonts w:ascii="Times New Roman" w:hAnsi="Times New Roman"/>
          <w:szCs w:val="18"/>
        </w:rPr>
        <w:t>, in “Journal of Comparative Policy Analysis: Research and Practices”, 22, 5, 2019.</w:t>
      </w:r>
      <w:r>
        <w:rPr>
          <w:rFonts w:ascii="Times New Roman" w:hAnsi="Times New Roman"/>
          <w:i/>
          <w:iCs/>
          <w:szCs w:val="18"/>
        </w:rPr>
        <w:t xml:space="preserve"> </w:t>
      </w:r>
    </w:p>
    <w:p w14:paraId="400F0584" w14:textId="77777777" w:rsidR="00C13ADA" w:rsidRPr="0091141B" w:rsidRDefault="00C13ADA" w:rsidP="006C64E5">
      <w:pPr>
        <w:spacing w:line="240" w:lineRule="atLeast"/>
        <w:ind w:left="284" w:hanging="284"/>
        <w:rPr>
          <w:rFonts w:ascii="Times" w:hAnsi="Times"/>
          <w:spacing w:val="-5"/>
          <w:sz w:val="18"/>
          <w:szCs w:val="18"/>
        </w:rPr>
      </w:pPr>
    </w:p>
    <w:p w14:paraId="2D2497CF" w14:textId="5570D012" w:rsidR="00D839E0" w:rsidRPr="0091141B" w:rsidRDefault="00D839E0" w:rsidP="006C64E5">
      <w:pPr>
        <w:spacing w:line="240" w:lineRule="atLeast"/>
        <w:ind w:left="284" w:hanging="284"/>
        <w:rPr>
          <w:rFonts w:ascii="Times" w:hAnsi="Times"/>
          <w:smallCaps/>
          <w:spacing w:val="-5"/>
          <w:sz w:val="18"/>
          <w:szCs w:val="18"/>
        </w:rPr>
      </w:pPr>
      <w:r w:rsidRPr="0091141B">
        <w:rPr>
          <w:rFonts w:ascii="Times" w:hAnsi="Times"/>
          <w:smallCaps/>
          <w:spacing w:val="-5"/>
          <w:sz w:val="18"/>
          <w:szCs w:val="18"/>
        </w:rPr>
        <w:t xml:space="preserve">Per la </w:t>
      </w:r>
      <w:r w:rsidR="000C0E3B" w:rsidRPr="0091141B">
        <w:rPr>
          <w:rFonts w:ascii="Times" w:hAnsi="Times"/>
          <w:smallCaps/>
          <w:spacing w:val="-5"/>
          <w:sz w:val="18"/>
          <w:szCs w:val="18"/>
        </w:rPr>
        <w:t>Seconda parte</w:t>
      </w:r>
      <w:r w:rsidRPr="0091141B">
        <w:rPr>
          <w:rFonts w:ascii="Times" w:hAnsi="Times"/>
          <w:smallCaps/>
          <w:spacing w:val="-5"/>
          <w:sz w:val="18"/>
          <w:szCs w:val="18"/>
        </w:rPr>
        <w:t xml:space="preserve">: </w:t>
      </w:r>
    </w:p>
    <w:p w14:paraId="6FE0BAB6" w14:textId="474F76E3" w:rsidR="002462D1" w:rsidRDefault="000C0E3B" w:rsidP="00705151">
      <w:pPr>
        <w:pStyle w:val="Testo1"/>
        <w:ind w:left="0" w:firstLine="0"/>
        <w:rPr>
          <w:rFonts w:ascii="Times New Roman" w:hAnsi="Times New Roman"/>
          <w:iCs/>
          <w:color w:val="000000" w:themeColor="text1"/>
          <w:szCs w:val="18"/>
        </w:rPr>
      </w:pPr>
      <w:r w:rsidRPr="006C2365">
        <w:rPr>
          <w:smallCaps/>
          <w:noProof w:val="0"/>
          <w:spacing w:val="-5"/>
          <w:sz w:val="16"/>
          <w:szCs w:val="16"/>
        </w:rPr>
        <w:t>L. Bordogna, R. Pedersini</w:t>
      </w:r>
      <w:r w:rsidR="00657041" w:rsidRPr="0091141B">
        <w:rPr>
          <w:rFonts w:ascii="Times New Roman" w:hAnsi="Times New Roman"/>
          <w:i/>
          <w:iCs/>
          <w:color w:val="000000" w:themeColor="text1"/>
          <w:szCs w:val="18"/>
        </w:rPr>
        <w:t>, Relazioni industriali</w:t>
      </w:r>
      <w:r w:rsidRPr="0091141B">
        <w:rPr>
          <w:rFonts w:ascii="Times New Roman" w:hAnsi="Times New Roman"/>
          <w:i/>
          <w:iCs/>
          <w:color w:val="000000" w:themeColor="text1"/>
          <w:szCs w:val="18"/>
        </w:rPr>
        <w:t>. L’esperienza italiana nel contesto internazionale</w:t>
      </w:r>
      <w:r w:rsidR="00657041" w:rsidRPr="0091141B">
        <w:rPr>
          <w:rFonts w:ascii="Times New Roman" w:hAnsi="Times New Roman"/>
          <w:i/>
          <w:iCs/>
          <w:color w:val="000000" w:themeColor="text1"/>
          <w:szCs w:val="18"/>
        </w:rPr>
        <w:t>,</w:t>
      </w:r>
      <w:r w:rsidRPr="0091141B">
        <w:rPr>
          <w:rFonts w:ascii="Times New Roman" w:hAnsi="Times New Roman"/>
          <w:iCs/>
          <w:color w:val="000000" w:themeColor="text1"/>
          <w:szCs w:val="18"/>
        </w:rPr>
        <w:t xml:space="preserve"> Il Muli</w:t>
      </w:r>
      <w:r w:rsidR="00C13ADA" w:rsidRPr="0091141B">
        <w:rPr>
          <w:rFonts w:ascii="Times New Roman" w:hAnsi="Times New Roman"/>
          <w:iCs/>
          <w:color w:val="000000" w:themeColor="text1"/>
          <w:szCs w:val="18"/>
        </w:rPr>
        <w:t>no, 2019 (tutto ad eccezione dei capitoli VI e</w:t>
      </w:r>
      <w:r w:rsidRPr="0091141B">
        <w:rPr>
          <w:rFonts w:ascii="Times New Roman" w:hAnsi="Times New Roman"/>
          <w:iCs/>
          <w:color w:val="000000" w:themeColor="text1"/>
          <w:szCs w:val="18"/>
        </w:rPr>
        <w:t xml:space="preserve"> VII)</w:t>
      </w:r>
      <w:r w:rsidR="00657041" w:rsidRPr="0091141B">
        <w:rPr>
          <w:rFonts w:ascii="Times New Roman" w:hAnsi="Times New Roman"/>
          <w:iCs/>
          <w:color w:val="000000" w:themeColor="text1"/>
          <w:szCs w:val="18"/>
        </w:rPr>
        <w:t>.</w:t>
      </w:r>
      <w:r w:rsidR="00DF3EB3">
        <w:rPr>
          <w:rFonts w:ascii="Times New Roman" w:hAnsi="Times New Roman"/>
          <w:iCs/>
          <w:color w:val="000000" w:themeColor="text1"/>
          <w:szCs w:val="18"/>
        </w:rPr>
        <w:t xml:space="preserve"> </w:t>
      </w:r>
      <w:hyperlink r:id="rId6" w:history="1">
        <w:r w:rsidR="00DF3EB3" w:rsidRPr="00DF3EB3">
          <w:rPr>
            <w:rStyle w:val="Collegamentoipertestuale"/>
            <w:rFonts w:ascii="Times New Roman" w:hAnsi="Times New Roman"/>
            <w:iCs/>
            <w:szCs w:val="18"/>
          </w:rPr>
          <w:t>Acquista da V&amp;P</w:t>
        </w:r>
      </w:hyperlink>
      <w:bookmarkStart w:id="1" w:name="_GoBack"/>
      <w:bookmarkEnd w:id="1"/>
    </w:p>
    <w:p w14:paraId="41D43339" w14:textId="02528D05" w:rsidR="006C64E5" w:rsidRPr="0091141B" w:rsidRDefault="0091141B" w:rsidP="006C64E5">
      <w:pPr>
        <w:pStyle w:val="Testo1"/>
        <w:rPr>
          <w:szCs w:val="18"/>
        </w:rPr>
      </w:pPr>
      <w:r>
        <w:rPr>
          <w:szCs w:val="18"/>
        </w:rPr>
        <w:t>Ulteriori indicazioni bibliografiche e i</w:t>
      </w:r>
      <w:r w:rsidR="006C64E5" w:rsidRPr="0091141B">
        <w:rPr>
          <w:szCs w:val="18"/>
        </w:rPr>
        <w:t xml:space="preserve">ndicazioni sull’utilizzo dei testi da parte degli studenti frequentanti verranno fornite all’inizio del corso. </w:t>
      </w:r>
    </w:p>
    <w:p w14:paraId="34062538" w14:textId="77777777" w:rsidR="00694550" w:rsidRDefault="00694550" w:rsidP="006C64E5">
      <w:pPr>
        <w:spacing w:before="240" w:after="120" w:line="220" w:lineRule="exact"/>
        <w:rPr>
          <w:b/>
          <w:i/>
          <w:sz w:val="18"/>
          <w:szCs w:val="18"/>
        </w:rPr>
      </w:pPr>
    </w:p>
    <w:p w14:paraId="1720645E" w14:textId="77777777" w:rsidR="00694550" w:rsidRDefault="00694550" w:rsidP="006C64E5">
      <w:pPr>
        <w:spacing w:before="240" w:after="120" w:line="220" w:lineRule="exact"/>
        <w:rPr>
          <w:b/>
          <w:i/>
          <w:sz w:val="18"/>
          <w:szCs w:val="18"/>
        </w:rPr>
      </w:pPr>
    </w:p>
    <w:p w14:paraId="04BDF25F" w14:textId="6ACEB5C6" w:rsidR="006C64E5" w:rsidRPr="0091141B" w:rsidRDefault="006C64E5" w:rsidP="006C64E5">
      <w:pPr>
        <w:spacing w:before="240" w:after="120" w:line="220" w:lineRule="exact"/>
        <w:rPr>
          <w:b/>
          <w:i/>
          <w:sz w:val="18"/>
          <w:szCs w:val="18"/>
        </w:rPr>
      </w:pPr>
      <w:r w:rsidRPr="0091141B">
        <w:rPr>
          <w:b/>
          <w:i/>
          <w:sz w:val="18"/>
          <w:szCs w:val="18"/>
        </w:rPr>
        <w:lastRenderedPageBreak/>
        <w:t>DIDATTICA DEL CORSO</w:t>
      </w:r>
    </w:p>
    <w:p w14:paraId="0607D6C5" w14:textId="77777777" w:rsidR="006C64E5" w:rsidRPr="0091141B" w:rsidRDefault="006C64E5" w:rsidP="006C64E5">
      <w:pPr>
        <w:pStyle w:val="Testo2"/>
        <w:rPr>
          <w:szCs w:val="18"/>
        </w:rPr>
      </w:pPr>
      <w:r w:rsidRPr="0091141B">
        <w:rPr>
          <w:szCs w:val="18"/>
        </w:rPr>
        <w:t xml:space="preserve">Il corso alternerà lezioni frontali e lezioni attive, nelle quali sarà richiesta agli studenti una partecipazione diretta, personale e di gruppo, con presentazioni in aula ed elaborazione di brevi </w:t>
      </w:r>
      <w:r w:rsidRPr="0091141B">
        <w:rPr>
          <w:i/>
          <w:szCs w:val="18"/>
        </w:rPr>
        <w:t>paper</w:t>
      </w:r>
      <w:r w:rsidRPr="0091141B">
        <w:rPr>
          <w:szCs w:val="18"/>
        </w:rPr>
        <w:t xml:space="preserve"> di approfondimento su specifiche </w:t>
      </w:r>
      <w:r w:rsidR="00410A91" w:rsidRPr="0091141B">
        <w:rPr>
          <w:szCs w:val="18"/>
        </w:rPr>
        <w:t>tematiche</w:t>
      </w:r>
      <w:r w:rsidRPr="0091141B">
        <w:rPr>
          <w:szCs w:val="18"/>
        </w:rPr>
        <w:t>.</w:t>
      </w:r>
    </w:p>
    <w:p w14:paraId="6CDDB438" w14:textId="5581E77E" w:rsidR="006C64E5" w:rsidRPr="0091141B" w:rsidRDefault="006C64E5" w:rsidP="006C64E5">
      <w:pPr>
        <w:spacing w:before="240" w:after="120" w:line="220" w:lineRule="exact"/>
        <w:rPr>
          <w:b/>
          <w:i/>
          <w:sz w:val="18"/>
          <w:szCs w:val="18"/>
        </w:rPr>
      </w:pPr>
      <w:r w:rsidRPr="0091141B">
        <w:rPr>
          <w:b/>
          <w:i/>
          <w:sz w:val="18"/>
          <w:szCs w:val="18"/>
        </w:rPr>
        <w:t xml:space="preserve">METODO </w:t>
      </w:r>
      <w:r w:rsidR="005C5729" w:rsidRPr="0091141B">
        <w:rPr>
          <w:b/>
          <w:i/>
          <w:sz w:val="18"/>
          <w:szCs w:val="18"/>
        </w:rPr>
        <w:t xml:space="preserve">E CRITERI </w:t>
      </w:r>
      <w:r w:rsidRPr="0091141B">
        <w:rPr>
          <w:b/>
          <w:i/>
          <w:sz w:val="18"/>
          <w:szCs w:val="18"/>
        </w:rPr>
        <w:t>DI VALUTAZIONE</w:t>
      </w:r>
    </w:p>
    <w:p w14:paraId="1057ACFA" w14:textId="1428B70B" w:rsidR="006C64E5" w:rsidRPr="0091141B" w:rsidRDefault="006C64E5" w:rsidP="006C64E5">
      <w:pPr>
        <w:pStyle w:val="Testo2"/>
        <w:rPr>
          <w:szCs w:val="18"/>
        </w:rPr>
      </w:pPr>
      <w:r w:rsidRPr="0091141B">
        <w:rPr>
          <w:szCs w:val="18"/>
        </w:rPr>
        <w:t xml:space="preserve">Esame </w:t>
      </w:r>
      <w:r w:rsidR="00B84051" w:rsidRPr="0091141B">
        <w:rPr>
          <w:szCs w:val="18"/>
        </w:rPr>
        <w:t>orale</w:t>
      </w:r>
      <w:r w:rsidRPr="0091141B">
        <w:rPr>
          <w:szCs w:val="18"/>
        </w:rPr>
        <w:t xml:space="preserve"> con votazione espressa in trentesimi. Il superamento dell’esame sarà commisurato alla capacità dello studente di padroneggiare gli strumenti concettuali dell’analisi comparata, nonché di sapersi orientare tra i differenti approcci che caratterizzano i modelli di welfare con specifico riferimento alle diverse aree di policy. La partecipazione attiva alle lezioni costituirà un elemento ulteriore di valutazione: nel corso delle lezioni verranno infatti proposti specifici lavori di approfondimento personale e di gruppo. Per gli studenti frequentanti verrà proposta un programma </w:t>
      </w:r>
      <w:r w:rsidRPr="0091141B">
        <w:rPr>
          <w:i/>
          <w:szCs w:val="18"/>
        </w:rPr>
        <w:t>ad hoc</w:t>
      </w:r>
      <w:r w:rsidRPr="0091141B">
        <w:rPr>
          <w:szCs w:val="18"/>
        </w:rPr>
        <w:t xml:space="preserve">: in questo caso </w:t>
      </w:r>
      <w:r w:rsidR="00410A91" w:rsidRPr="0091141B">
        <w:rPr>
          <w:szCs w:val="18"/>
        </w:rPr>
        <w:t>il voto</w:t>
      </w:r>
      <w:r w:rsidRPr="0091141B">
        <w:rPr>
          <w:szCs w:val="18"/>
        </w:rPr>
        <w:t xml:space="preserve"> finale </w:t>
      </w:r>
      <w:r w:rsidR="00410A91" w:rsidRPr="0091141B">
        <w:rPr>
          <w:szCs w:val="18"/>
        </w:rPr>
        <w:t>terrà conto per il 60% della valutazione della prova scritta, mentre il restante 40% sarà determinato dalla valutazione delle presentazione e dei paper predisposti</w:t>
      </w:r>
      <w:r w:rsidRPr="0091141B">
        <w:rPr>
          <w:szCs w:val="18"/>
        </w:rPr>
        <w:t xml:space="preserve">. </w:t>
      </w:r>
    </w:p>
    <w:p w14:paraId="0E93A434" w14:textId="77777777" w:rsidR="006C64E5" w:rsidRPr="0091141B" w:rsidRDefault="006C64E5" w:rsidP="006C64E5">
      <w:pPr>
        <w:spacing w:before="240" w:after="120"/>
        <w:rPr>
          <w:b/>
          <w:i/>
          <w:sz w:val="18"/>
          <w:szCs w:val="18"/>
        </w:rPr>
      </w:pPr>
      <w:r w:rsidRPr="0091141B">
        <w:rPr>
          <w:b/>
          <w:i/>
          <w:sz w:val="18"/>
          <w:szCs w:val="18"/>
        </w:rPr>
        <w:t>AVVERTENZE</w:t>
      </w:r>
      <w:r w:rsidR="005315EF" w:rsidRPr="0091141B">
        <w:rPr>
          <w:b/>
          <w:i/>
          <w:sz w:val="18"/>
          <w:szCs w:val="18"/>
        </w:rPr>
        <w:t xml:space="preserve"> E PREREQUISITI</w:t>
      </w:r>
    </w:p>
    <w:p w14:paraId="510F06E7" w14:textId="77777777" w:rsidR="00316B2F" w:rsidRPr="0091141B" w:rsidRDefault="00316B2F" w:rsidP="00316B2F">
      <w:pPr>
        <w:spacing w:before="240" w:after="120"/>
        <w:rPr>
          <w:sz w:val="18"/>
          <w:szCs w:val="18"/>
        </w:rPr>
      </w:pPr>
      <w:r w:rsidRPr="0091141B">
        <w:rPr>
          <w:sz w:val="18"/>
          <w:szCs w:val="18"/>
        </w:rPr>
        <w:t>Il corso non richiede prerequisiti.</w:t>
      </w:r>
    </w:p>
    <w:p w14:paraId="4888A59B" w14:textId="77777777" w:rsidR="00316B2F" w:rsidRPr="0091141B" w:rsidRDefault="00316B2F" w:rsidP="00C42066">
      <w:pPr>
        <w:spacing w:line="220" w:lineRule="exact"/>
        <w:rPr>
          <w:i/>
          <w:sz w:val="18"/>
          <w:szCs w:val="18"/>
        </w:rPr>
      </w:pPr>
    </w:p>
    <w:p w14:paraId="32A567FC" w14:textId="77777777" w:rsidR="006C64E5" w:rsidRPr="006C2365" w:rsidRDefault="006C64E5" w:rsidP="00FD6EDD">
      <w:pPr>
        <w:pStyle w:val="Testo2"/>
        <w:ind w:firstLine="0"/>
        <w:rPr>
          <w:bCs/>
          <w:i/>
          <w:szCs w:val="18"/>
        </w:rPr>
      </w:pPr>
      <w:r w:rsidRPr="006C2365">
        <w:rPr>
          <w:bCs/>
          <w:i/>
          <w:szCs w:val="18"/>
        </w:rPr>
        <w:t>Orario e luogo di ricevimento</w:t>
      </w:r>
    </w:p>
    <w:p w14:paraId="0E930159" w14:textId="77777777" w:rsidR="006C64E5" w:rsidRPr="0091141B" w:rsidRDefault="006C64E5" w:rsidP="00FD6EDD">
      <w:pPr>
        <w:pStyle w:val="Testo2"/>
        <w:rPr>
          <w:szCs w:val="18"/>
        </w:rPr>
      </w:pPr>
      <w:r w:rsidRPr="0091141B">
        <w:rPr>
          <w:szCs w:val="18"/>
        </w:rPr>
        <w:t>Il Prof. Luca Pesenti riceve gli studenti come indicato online sulla pagina personale.</w:t>
      </w:r>
    </w:p>
    <w:sectPr w:rsidR="006C64E5" w:rsidRPr="0091141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C77F5"/>
    <w:multiLevelType w:val="hybridMultilevel"/>
    <w:tmpl w:val="A2DEBB34"/>
    <w:lvl w:ilvl="0" w:tplc="4712D644">
      <w:start w:val="1"/>
      <w:numFmt w:val="bullet"/>
      <w:lvlText w:val="–"/>
      <w:lvlJc w:val="left"/>
      <w:pPr>
        <w:tabs>
          <w:tab w:val="num" w:pos="720"/>
        </w:tabs>
        <w:ind w:left="720" w:hanging="360"/>
      </w:pPr>
      <w:rPr>
        <w:rFonts w:ascii="Arial" w:hAnsi="Arial" w:hint="default"/>
      </w:rPr>
    </w:lvl>
    <w:lvl w:ilvl="1" w:tplc="72AED9A6">
      <w:start w:val="1"/>
      <w:numFmt w:val="bullet"/>
      <w:lvlText w:val="–"/>
      <w:lvlJc w:val="left"/>
      <w:pPr>
        <w:tabs>
          <w:tab w:val="num" w:pos="1440"/>
        </w:tabs>
        <w:ind w:left="1440" w:hanging="360"/>
      </w:pPr>
      <w:rPr>
        <w:rFonts w:ascii="Arial" w:hAnsi="Arial" w:hint="default"/>
      </w:rPr>
    </w:lvl>
    <w:lvl w:ilvl="2" w:tplc="30C432D6" w:tentative="1">
      <w:start w:val="1"/>
      <w:numFmt w:val="bullet"/>
      <w:lvlText w:val="–"/>
      <w:lvlJc w:val="left"/>
      <w:pPr>
        <w:tabs>
          <w:tab w:val="num" w:pos="2160"/>
        </w:tabs>
        <w:ind w:left="2160" w:hanging="360"/>
      </w:pPr>
      <w:rPr>
        <w:rFonts w:ascii="Arial" w:hAnsi="Arial" w:hint="default"/>
      </w:rPr>
    </w:lvl>
    <w:lvl w:ilvl="3" w:tplc="B156DFD6" w:tentative="1">
      <w:start w:val="1"/>
      <w:numFmt w:val="bullet"/>
      <w:lvlText w:val="–"/>
      <w:lvlJc w:val="left"/>
      <w:pPr>
        <w:tabs>
          <w:tab w:val="num" w:pos="2880"/>
        </w:tabs>
        <w:ind w:left="2880" w:hanging="360"/>
      </w:pPr>
      <w:rPr>
        <w:rFonts w:ascii="Arial" w:hAnsi="Arial" w:hint="default"/>
      </w:rPr>
    </w:lvl>
    <w:lvl w:ilvl="4" w:tplc="D80E4C22" w:tentative="1">
      <w:start w:val="1"/>
      <w:numFmt w:val="bullet"/>
      <w:lvlText w:val="–"/>
      <w:lvlJc w:val="left"/>
      <w:pPr>
        <w:tabs>
          <w:tab w:val="num" w:pos="3600"/>
        </w:tabs>
        <w:ind w:left="3600" w:hanging="360"/>
      </w:pPr>
      <w:rPr>
        <w:rFonts w:ascii="Arial" w:hAnsi="Arial" w:hint="default"/>
      </w:rPr>
    </w:lvl>
    <w:lvl w:ilvl="5" w:tplc="4148BBC0" w:tentative="1">
      <w:start w:val="1"/>
      <w:numFmt w:val="bullet"/>
      <w:lvlText w:val="–"/>
      <w:lvlJc w:val="left"/>
      <w:pPr>
        <w:tabs>
          <w:tab w:val="num" w:pos="4320"/>
        </w:tabs>
        <w:ind w:left="4320" w:hanging="360"/>
      </w:pPr>
      <w:rPr>
        <w:rFonts w:ascii="Arial" w:hAnsi="Arial" w:hint="default"/>
      </w:rPr>
    </w:lvl>
    <w:lvl w:ilvl="6" w:tplc="6E681F60" w:tentative="1">
      <w:start w:val="1"/>
      <w:numFmt w:val="bullet"/>
      <w:lvlText w:val="–"/>
      <w:lvlJc w:val="left"/>
      <w:pPr>
        <w:tabs>
          <w:tab w:val="num" w:pos="5040"/>
        </w:tabs>
        <w:ind w:left="5040" w:hanging="360"/>
      </w:pPr>
      <w:rPr>
        <w:rFonts w:ascii="Arial" w:hAnsi="Arial" w:hint="default"/>
      </w:rPr>
    </w:lvl>
    <w:lvl w:ilvl="7" w:tplc="1390C4B2" w:tentative="1">
      <w:start w:val="1"/>
      <w:numFmt w:val="bullet"/>
      <w:lvlText w:val="–"/>
      <w:lvlJc w:val="left"/>
      <w:pPr>
        <w:tabs>
          <w:tab w:val="num" w:pos="5760"/>
        </w:tabs>
        <w:ind w:left="5760" w:hanging="360"/>
      </w:pPr>
      <w:rPr>
        <w:rFonts w:ascii="Arial" w:hAnsi="Arial" w:hint="default"/>
      </w:rPr>
    </w:lvl>
    <w:lvl w:ilvl="8" w:tplc="9AE4C6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831F36"/>
    <w:multiLevelType w:val="hybridMultilevel"/>
    <w:tmpl w:val="378083F2"/>
    <w:lvl w:ilvl="0" w:tplc="EA2A0976">
      <w:start w:val="1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C0E3B"/>
    <w:rsid w:val="00112602"/>
    <w:rsid w:val="001833D3"/>
    <w:rsid w:val="00187B99"/>
    <w:rsid w:val="001B1043"/>
    <w:rsid w:val="001C3906"/>
    <w:rsid w:val="002014DD"/>
    <w:rsid w:val="0022519A"/>
    <w:rsid w:val="002462D1"/>
    <w:rsid w:val="00295E94"/>
    <w:rsid w:val="00316B2F"/>
    <w:rsid w:val="003356C5"/>
    <w:rsid w:val="0033587E"/>
    <w:rsid w:val="00363497"/>
    <w:rsid w:val="003E2131"/>
    <w:rsid w:val="00410A91"/>
    <w:rsid w:val="004D1217"/>
    <w:rsid w:val="004D6008"/>
    <w:rsid w:val="005027BA"/>
    <w:rsid w:val="005315EF"/>
    <w:rsid w:val="00586489"/>
    <w:rsid w:val="005C5729"/>
    <w:rsid w:val="005D194C"/>
    <w:rsid w:val="005F611A"/>
    <w:rsid w:val="005F6636"/>
    <w:rsid w:val="0062432C"/>
    <w:rsid w:val="00657041"/>
    <w:rsid w:val="00663EDC"/>
    <w:rsid w:val="006730D4"/>
    <w:rsid w:val="00694550"/>
    <w:rsid w:val="006C2365"/>
    <w:rsid w:val="006C64E5"/>
    <w:rsid w:val="006F1772"/>
    <w:rsid w:val="00705151"/>
    <w:rsid w:val="007D5C82"/>
    <w:rsid w:val="007F2430"/>
    <w:rsid w:val="00835524"/>
    <w:rsid w:val="00844796"/>
    <w:rsid w:val="008A1204"/>
    <w:rsid w:val="008A5838"/>
    <w:rsid w:val="00900CCA"/>
    <w:rsid w:val="0090699B"/>
    <w:rsid w:val="00906A0F"/>
    <w:rsid w:val="0091141B"/>
    <w:rsid w:val="00924B77"/>
    <w:rsid w:val="00940A0F"/>
    <w:rsid w:val="00940DA2"/>
    <w:rsid w:val="009939CB"/>
    <w:rsid w:val="009E055C"/>
    <w:rsid w:val="00A74F6F"/>
    <w:rsid w:val="00AD564E"/>
    <w:rsid w:val="00AD7557"/>
    <w:rsid w:val="00B51253"/>
    <w:rsid w:val="00B525CC"/>
    <w:rsid w:val="00B84051"/>
    <w:rsid w:val="00BD6612"/>
    <w:rsid w:val="00C10DBB"/>
    <w:rsid w:val="00C13ADA"/>
    <w:rsid w:val="00C42066"/>
    <w:rsid w:val="00C62C51"/>
    <w:rsid w:val="00C84527"/>
    <w:rsid w:val="00D404F2"/>
    <w:rsid w:val="00D60F55"/>
    <w:rsid w:val="00D839E0"/>
    <w:rsid w:val="00DB58B8"/>
    <w:rsid w:val="00DF3EB3"/>
    <w:rsid w:val="00E607E6"/>
    <w:rsid w:val="00E97897"/>
    <w:rsid w:val="00EE2A5B"/>
    <w:rsid w:val="00F65CE9"/>
    <w:rsid w:val="00F7485B"/>
    <w:rsid w:val="00FD6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957E3"/>
  <w15:docId w15:val="{F726B35C-C5F8-404F-9DBF-C0FCB3F8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6A0F"/>
    <w:pPr>
      <w:tabs>
        <w:tab w:val="clear" w:pos="284"/>
      </w:tabs>
      <w:spacing w:line="240" w:lineRule="auto"/>
      <w:ind w:left="720"/>
      <w:jc w:val="left"/>
    </w:pPr>
    <w:rPr>
      <w:rFonts w:eastAsiaTheme="minorHAnsi"/>
      <w:sz w:val="24"/>
    </w:rPr>
  </w:style>
  <w:style w:type="character" w:styleId="Rimandocommento">
    <w:name w:val="annotation reference"/>
    <w:basedOn w:val="Carpredefinitoparagrafo"/>
    <w:semiHidden/>
    <w:unhideWhenUsed/>
    <w:rsid w:val="008A5838"/>
    <w:rPr>
      <w:sz w:val="16"/>
      <w:szCs w:val="16"/>
    </w:rPr>
  </w:style>
  <w:style w:type="paragraph" w:styleId="Testocommento">
    <w:name w:val="annotation text"/>
    <w:basedOn w:val="Normale"/>
    <w:link w:val="TestocommentoCarattere"/>
    <w:unhideWhenUsed/>
    <w:rsid w:val="008A5838"/>
    <w:pPr>
      <w:spacing w:line="240" w:lineRule="auto"/>
    </w:pPr>
    <w:rPr>
      <w:szCs w:val="20"/>
    </w:rPr>
  </w:style>
  <w:style w:type="character" w:customStyle="1" w:styleId="TestocommentoCarattere">
    <w:name w:val="Testo commento Carattere"/>
    <w:basedOn w:val="Carpredefinitoparagrafo"/>
    <w:link w:val="Testocommento"/>
    <w:rsid w:val="008A5838"/>
  </w:style>
  <w:style w:type="paragraph" w:styleId="Soggettocommento">
    <w:name w:val="annotation subject"/>
    <w:basedOn w:val="Testocommento"/>
    <w:next w:val="Testocommento"/>
    <w:link w:val="SoggettocommentoCarattere"/>
    <w:semiHidden/>
    <w:unhideWhenUsed/>
    <w:rsid w:val="008A5838"/>
    <w:rPr>
      <w:b/>
      <w:bCs/>
    </w:rPr>
  </w:style>
  <w:style w:type="character" w:customStyle="1" w:styleId="SoggettocommentoCarattere">
    <w:name w:val="Soggetto commento Carattere"/>
    <w:basedOn w:val="TestocommentoCarattere"/>
    <w:link w:val="Soggettocommento"/>
    <w:semiHidden/>
    <w:rsid w:val="008A5838"/>
    <w:rPr>
      <w:b/>
      <w:bCs/>
    </w:rPr>
  </w:style>
  <w:style w:type="character" w:styleId="Collegamentoipertestuale">
    <w:name w:val="Hyperlink"/>
    <w:basedOn w:val="Carpredefinitoparagrafo"/>
    <w:unhideWhenUsed/>
    <w:rsid w:val="00DF3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8252">
      <w:bodyDiv w:val="1"/>
      <w:marLeft w:val="0"/>
      <w:marRight w:val="0"/>
      <w:marTop w:val="0"/>
      <w:marBottom w:val="0"/>
      <w:divBdr>
        <w:top w:val="none" w:sz="0" w:space="0" w:color="auto"/>
        <w:left w:val="none" w:sz="0" w:space="0" w:color="auto"/>
        <w:bottom w:val="none" w:sz="0" w:space="0" w:color="auto"/>
        <w:right w:val="none" w:sz="0" w:space="0" w:color="auto"/>
      </w:divBdr>
    </w:div>
    <w:div w:id="305204461">
      <w:bodyDiv w:val="1"/>
      <w:marLeft w:val="0"/>
      <w:marRight w:val="0"/>
      <w:marTop w:val="0"/>
      <w:marBottom w:val="0"/>
      <w:divBdr>
        <w:top w:val="none" w:sz="0" w:space="0" w:color="auto"/>
        <w:left w:val="none" w:sz="0" w:space="0" w:color="auto"/>
        <w:bottom w:val="none" w:sz="0" w:space="0" w:color="auto"/>
        <w:right w:val="none" w:sz="0" w:space="0" w:color="auto"/>
      </w:divBdr>
      <w:divsChild>
        <w:div w:id="2099672196">
          <w:marLeft w:val="1166"/>
          <w:marRight w:val="0"/>
          <w:marTop w:val="96"/>
          <w:marBottom w:val="0"/>
          <w:divBdr>
            <w:top w:val="none" w:sz="0" w:space="0" w:color="auto"/>
            <w:left w:val="none" w:sz="0" w:space="0" w:color="auto"/>
            <w:bottom w:val="none" w:sz="0" w:space="0" w:color="auto"/>
            <w:right w:val="none" w:sz="0" w:space="0" w:color="auto"/>
          </w:divBdr>
        </w:div>
      </w:divsChild>
    </w:div>
    <w:div w:id="857694883">
      <w:bodyDiv w:val="1"/>
      <w:marLeft w:val="0"/>
      <w:marRight w:val="0"/>
      <w:marTop w:val="0"/>
      <w:marBottom w:val="0"/>
      <w:divBdr>
        <w:top w:val="none" w:sz="0" w:space="0" w:color="auto"/>
        <w:left w:val="none" w:sz="0" w:space="0" w:color="auto"/>
        <w:bottom w:val="none" w:sz="0" w:space="0" w:color="auto"/>
        <w:right w:val="none" w:sz="0" w:space="0" w:color="auto"/>
      </w:divBdr>
    </w:div>
    <w:div w:id="1227763485">
      <w:bodyDiv w:val="1"/>
      <w:marLeft w:val="0"/>
      <w:marRight w:val="0"/>
      <w:marTop w:val="0"/>
      <w:marBottom w:val="0"/>
      <w:divBdr>
        <w:top w:val="none" w:sz="0" w:space="0" w:color="auto"/>
        <w:left w:val="none" w:sz="0" w:space="0" w:color="auto"/>
        <w:bottom w:val="none" w:sz="0" w:space="0" w:color="auto"/>
        <w:right w:val="none" w:sz="0" w:space="0" w:color="auto"/>
      </w:divBdr>
    </w:div>
    <w:div w:id="16444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lorenzo-bordogna-roberto-pedersini/relazioni-industriali-lesperienza-italiana-nel-contesto-internazionale-9788815267573-56029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BB58-B07F-49DA-B924-EC0FDF94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757</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2003-03-27T09:42:00Z</cp:lastPrinted>
  <dcterms:created xsi:type="dcterms:W3CDTF">2023-05-10T13:56:00Z</dcterms:created>
  <dcterms:modified xsi:type="dcterms:W3CDTF">2024-03-15T13:59:00Z</dcterms:modified>
</cp:coreProperties>
</file>