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3CD7" w14:textId="77777777" w:rsidR="002919A0" w:rsidRDefault="00594B40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Metodologie educative per la prevenzione della marginalità</w:t>
      </w:r>
    </w:p>
    <w:p w14:paraId="046ADE53" w14:textId="77777777" w:rsidR="002919A0" w:rsidRDefault="00594B40">
      <w:pPr>
        <w:pStyle w:val="Titolo2"/>
      </w:pPr>
      <w:r>
        <w:t>Prof. Roberto Franchini</w:t>
      </w:r>
    </w:p>
    <w:p w14:paraId="12DFBDF1" w14:textId="77777777" w:rsidR="002919A0" w:rsidRDefault="00594B40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2C868B56" w14:textId="77777777" w:rsidR="002919A0" w:rsidRDefault="00594B40">
      <w:pPr>
        <w:spacing w:before="120"/>
      </w:pPr>
      <w:r>
        <w:t xml:space="preserve">Il contesto in cui si muove la riflessione pedagogica applicata alle problematiche sociali è caratterizzato da profonde trasformazioni: l’approccio tradizionale al fenomeno della marginalità e della vulnerabilità si è manifestato come largamente inefficace, in quanto semplicemente “riparativo”, invece che preventivo. </w:t>
      </w:r>
    </w:p>
    <w:p w14:paraId="409C3257" w14:textId="77777777" w:rsidR="002919A0" w:rsidRDefault="00594B40">
      <w:pPr>
        <w:spacing w:before="120"/>
        <w:rPr>
          <w:b/>
          <w:bCs/>
          <w:sz w:val="18"/>
          <w:szCs w:val="18"/>
        </w:rPr>
      </w:pPr>
      <w:r>
        <w:t xml:space="preserve">Il Welfare tradizionale, e le logiche professionali che ne derivano, tendono infatti ad attendere che i problemi sociali e sanitari si manifestino, per poi tentare di risolverli, divenendo </w:t>
      </w:r>
      <w:proofErr w:type="spellStart"/>
      <w:r>
        <w:t>costitutivamente</w:t>
      </w:r>
      <w:proofErr w:type="spellEnd"/>
      <w:r>
        <w:t xml:space="preserve"> insufficienti.</w:t>
      </w:r>
    </w:p>
    <w:p w14:paraId="4344141D" w14:textId="77777777" w:rsidR="002919A0" w:rsidRDefault="00594B40">
      <w:pPr>
        <w:spacing w:before="120"/>
      </w:pPr>
      <w:r>
        <w:t xml:space="preserve">In questo orizzonte, il corso si prefigge di fornire le competenze atte alla progettazione di iniziative e interventi di secondo Welfare, in ottica di </w:t>
      </w:r>
      <w:proofErr w:type="spellStart"/>
      <w:r>
        <w:t>capacitazione</w:t>
      </w:r>
      <w:proofErr w:type="spellEnd"/>
      <w:r>
        <w:t xml:space="preserve"> delle persone e delle reti.</w:t>
      </w:r>
    </w:p>
    <w:p w14:paraId="25C47494" w14:textId="77777777" w:rsidR="002919A0" w:rsidRDefault="00594B40">
      <w:pPr>
        <w:spacing w:before="120"/>
      </w:pPr>
      <w:r>
        <w:t>Le metodologie preventive verranno declinate sui diversi cicli di vita, a partire dall’educazione precoce sino al progetto di vita sull’anziano, passando attraverso  il sostegno alla vita della persona con disabilità nella transizione verso la condizione adulta.</w:t>
      </w:r>
    </w:p>
    <w:p w14:paraId="7CB915A6" w14:textId="77777777" w:rsidR="002919A0" w:rsidRDefault="00594B40">
      <w:pPr>
        <w:spacing w:before="120"/>
      </w:pPr>
      <w:r>
        <w:t>Infine, attraverso l’analisi di casi, il corso intende avviare riflessioni sul profilo dell’educatore che opera a contatto con la marginalità e la devianza, con una particolare attenzione agli strumenti della progettazione pedagogica e al lavoro d’équipe.</w:t>
      </w:r>
    </w:p>
    <w:p w14:paraId="638070DF" w14:textId="77777777" w:rsidR="002919A0" w:rsidRDefault="00594B40">
      <w:pPr>
        <w:spacing w:before="240" w:after="120"/>
      </w:pPr>
      <w:r>
        <w:t>Al termine del corso, lo studente sarà in grado di</w:t>
      </w:r>
    </w:p>
    <w:p w14:paraId="517706AF" w14:textId="77777777" w:rsidR="002919A0" w:rsidRDefault="00594B40">
      <w:pPr>
        <w:numPr>
          <w:ilvl w:val="0"/>
          <w:numId w:val="2"/>
        </w:numPr>
      </w:pPr>
      <w:r>
        <w:t>conoscere e comprendere gli elementi fondamentali che strutturano la condizione di marginalità e le principali teorie interpretative del fenomeno</w:t>
      </w:r>
    </w:p>
    <w:p w14:paraId="5E484216" w14:textId="77777777" w:rsidR="002919A0" w:rsidRDefault="00594B40">
      <w:pPr>
        <w:numPr>
          <w:ilvl w:val="0"/>
          <w:numId w:val="2"/>
        </w:numPr>
      </w:pPr>
      <w:r>
        <w:t>conoscere e comprendere le dimensioni storiche e sociali dei modelli di Welfare e delle organizzazioni educative che li traducono sul piano istituzionale;</w:t>
      </w:r>
    </w:p>
    <w:p w14:paraId="151C3005" w14:textId="77777777" w:rsidR="002919A0" w:rsidRDefault="00594B40">
      <w:pPr>
        <w:numPr>
          <w:ilvl w:val="0"/>
          <w:numId w:val="2"/>
        </w:numPr>
      </w:pPr>
      <w:r>
        <w:t>acquisire un quadro organico delle conoscenze fondamentali in merito alle finalità dell'azione educativa e alla natura dei processi educativi e formativi in rapporto allo sviluppo personale e alle diverse situazioni della vita;</w:t>
      </w:r>
    </w:p>
    <w:p w14:paraId="756AE41D" w14:textId="77777777" w:rsidR="002919A0" w:rsidRDefault="00594B40">
      <w:pPr>
        <w:numPr>
          <w:ilvl w:val="0"/>
          <w:numId w:val="2"/>
        </w:numPr>
      </w:pPr>
      <w:r>
        <w:t>conoscere in modo complesso e articolato i bisogni e le risorse educative delle persone, in rapporto alla loro età e alla loro condizione, con particolare attenzione alle persone che vivono situazioni di disagio e di marginalità.</w:t>
      </w:r>
    </w:p>
    <w:p w14:paraId="20BE247F" w14:textId="77777777" w:rsidR="002919A0" w:rsidRDefault="00594B40">
      <w:pPr>
        <w:numPr>
          <w:ilvl w:val="0"/>
          <w:numId w:val="2"/>
        </w:numPr>
      </w:pPr>
      <w:r>
        <w:lastRenderedPageBreak/>
        <w:t xml:space="preserve">conoscere la natura, gli scopi e le limitazioni delle diverse agenzie educative, delle loro finalità e del loro ruolo all'interno dell'attuale contesto sociale, prospettando i cambiamenti necessari per affrontare nuovi scenari generativi; </w:t>
      </w:r>
    </w:p>
    <w:p w14:paraId="398AEEA2" w14:textId="77777777" w:rsidR="002919A0" w:rsidRDefault="00594B40">
      <w:pPr>
        <w:numPr>
          <w:ilvl w:val="0"/>
          <w:numId w:val="2"/>
        </w:numPr>
      </w:pPr>
      <w:r>
        <w:t>acquisire la logica progettuale rispondente alle strategie e tecniche più efficaci per l’intervento educativo precoce</w:t>
      </w:r>
    </w:p>
    <w:p w14:paraId="21F1962B" w14:textId="77777777" w:rsidR="002919A0" w:rsidRDefault="00594B40">
      <w:pPr>
        <w:numPr>
          <w:ilvl w:val="0"/>
          <w:numId w:val="2"/>
        </w:numPr>
      </w:pPr>
      <w:r>
        <w:t>progettare il curricolo inclusivo in ambiente scolastico</w:t>
      </w:r>
    </w:p>
    <w:p w14:paraId="4C1AB6E1" w14:textId="77777777" w:rsidR="002919A0" w:rsidRDefault="00594B40">
      <w:pPr>
        <w:numPr>
          <w:ilvl w:val="0"/>
          <w:numId w:val="2"/>
        </w:numPr>
      </w:pPr>
      <w:r>
        <w:t>acquisire la logica progettuale per creare e sostenere ambienti educativi inclusivi</w:t>
      </w:r>
    </w:p>
    <w:p w14:paraId="37E6A59D" w14:textId="77777777" w:rsidR="002919A0" w:rsidRDefault="00594B40">
      <w:pPr>
        <w:numPr>
          <w:ilvl w:val="0"/>
          <w:numId w:val="2"/>
        </w:numPr>
      </w:pPr>
      <w:r>
        <w:t>acquisire la logica del progetto di vita, sia nella disabilità che nella condizione senile.</w:t>
      </w:r>
    </w:p>
    <w:p w14:paraId="266C43A4" w14:textId="77777777" w:rsidR="002919A0" w:rsidRDefault="00594B4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26BA89F" w14:textId="77777777" w:rsidR="002919A0" w:rsidRDefault="00594B40">
      <w:pPr>
        <w:tabs>
          <w:tab w:val="left" w:pos="284"/>
        </w:tabs>
        <w:ind w:left="284" w:hanging="284"/>
      </w:pPr>
      <w:r>
        <w:t>1.</w:t>
      </w:r>
      <w:r>
        <w:tab/>
        <w:t>Questioni epistemologiche e precisazioni concettuali su marginalità, devianza ed esclusione sociale.</w:t>
      </w:r>
    </w:p>
    <w:p w14:paraId="17309E87" w14:textId="77777777" w:rsidR="002919A0" w:rsidRDefault="00594B40">
      <w:pPr>
        <w:tabs>
          <w:tab w:val="left" w:pos="284"/>
        </w:tabs>
        <w:ind w:left="284" w:hanging="284"/>
      </w:pPr>
      <w:r>
        <w:t>2.</w:t>
      </w:r>
      <w:r>
        <w:tab/>
        <w:t>Le persone a rischio di marginalità, di devianza e di esclusione sociale.</w:t>
      </w:r>
    </w:p>
    <w:p w14:paraId="3F3E4E73" w14:textId="77777777" w:rsidR="002919A0" w:rsidRDefault="00594B40">
      <w:pPr>
        <w:tabs>
          <w:tab w:val="left" w:pos="284"/>
        </w:tabs>
        <w:ind w:left="284" w:hanging="284"/>
      </w:pPr>
      <w:r>
        <w:t>3.</w:t>
      </w:r>
      <w:r>
        <w:tab/>
        <w:t>Dal Welfare State al Welfare comunitario: la cura delle reti</w:t>
      </w:r>
    </w:p>
    <w:p w14:paraId="54546E76" w14:textId="77777777" w:rsidR="002919A0" w:rsidRDefault="00594B40">
      <w:pPr>
        <w:tabs>
          <w:tab w:val="left" w:pos="284"/>
        </w:tabs>
        <w:ind w:left="284" w:hanging="284"/>
      </w:pPr>
      <w:r>
        <w:t>4.</w:t>
      </w:r>
      <w:r>
        <w:tab/>
        <w:t>Il profilo dell’educatore: conoscenze, competenze e strumenti operativi.</w:t>
      </w:r>
    </w:p>
    <w:p w14:paraId="461E9928" w14:textId="77777777" w:rsidR="002919A0" w:rsidRDefault="00594B40">
      <w:pPr>
        <w:tabs>
          <w:tab w:val="left" w:pos="284"/>
        </w:tabs>
        <w:ind w:left="284" w:hanging="284"/>
      </w:pPr>
      <w:r>
        <w:t>5.  Il ruolo dell’educazione precoce (ciclo 0-6) nella prevenzione della marginalità: modelli e linee.</w:t>
      </w:r>
    </w:p>
    <w:p w14:paraId="1EE669C7" w14:textId="77777777" w:rsidR="002919A0" w:rsidRDefault="00594B40">
      <w:pPr>
        <w:tabs>
          <w:tab w:val="left" w:pos="284"/>
        </w:tabs>
        <w:ind w:left="284" w:hanging="284"/>
      </w:pPr>
      <w:r>
        <w:t>6. La scuola inclusiva:</w:t>
      </w:r>
    </w:p>
    <w:p w14:paraId="0874AD65" w14:textId="77777777" w:rsidR="002919A0" w:rsidRDefault="00594B40">
      <w:pPr>
        <w:tabs>
          <w:tab w:val="left" w:pos="284"/>
        </w:tabs>
        <w:ind w:left="284" w:hanging="284"/>
      </w:pPr>
      <w:r>
        <w:t>7.</w:t>
      </w:r>
      <w:r>
        <w:tab/>
        <w:t>Il progetto di vita nella persona con disabilità tra inclusione e autodeterminazione</w:t>
      </w:r>
    </w:p>
    <w:p w14:paraId="7F2CB4B5" w14:textId="77777777" w:rsidR="002919A0" w:rsidRDefault="00594B40">
      <w:pPr>
        <w:tabs>
          <w:tab w:val="left" w:pos="284"/>
        </w:tabs>
        <w:ind w:left="284" w:hanging="284"/>
      </w:pPr>
      <w:r>
        <w:t xml:space="preserve">8.  Il progetto di vita nell’anziano, tra </w:t>
      </w:r>
      <w:proofErr w:type="spellStart"/>
      <w:r>
        <w:t>housing</w:t>
      </w:r>
      <w:proofErr w:type="spellEnd"/>
      <w:r>
        <w:t xml:space="preserve"> e </w:t>
      </w:r>
      <w:proofErr w:type="spellStart"/>
      <w:r>
        <w:t>ageing</w:t>
      </w:r>
      <w:proofErr w:type="spellEnd"/>
    </w:p>
    <w:p w14:paraId="711D8CB8" w14:textId="77777777" w:rsidR="002919A0" w:rsidRDefault="00594B40">
      <w:pPr>
        <w:tabs>
          <w:tab w:val="left" w:pos="284"/>
        </w:tabs>
        <w:ind w:left="284" w:hanging="284"/>
      </w:pPr>
      <w:r>
        <w:t>9. Ripensare i contesti residenziali dopo la pandemia</w:t>
      </w:r>
    </w:p>
    <w:p w14:paraId="13666E86" w14:textId="77777777" w:rsidR="002919A0" w:rsidRDefault="00594B4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5BAABEFA" w14:textId="77777777" w:rsidR="002919A0" w:rsidRDefault="00594B40">
      <w:pPr>
        <w:spacing w:before="120" w:line="240" w:lineRule="auto"/>
        <w:jc w:val="left"/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Testi obbligatori</w:t>
      </w:r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06D74C8" w14:textId="2BF6A205" w:rsidR="002919A0" w:rsidRDefault="00594B40">
      <w:pPr>
        <w:spacing w:before="120"/>
        <w:jc w:val="left"/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L. D’Alonzo</w:t>
      </w:r>
      <w:r>
        <w:rPr>
          <w:smallCap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i/>
          <w:i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Pedagogia speciale per l’inclusione,</w:t>
      </w:r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Scholè</w:t>
      </w:r>
      <w:proofErr w:type="spellEnd"/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, Brescia, 2018.</w:t>
      </w:r>
      <w:r w:rsidR="004E2736"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7" w:history="1">
        <w:r w:rsidR="004E2736" w:rsidRPr="004E2736">
          <w:rPr>
            <w:rStyle w:val="Collegamentoipertestuale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Acquista da V&amp;P</w:t>
        </w:r>
      </w:hyperlink>
    </w:p>
    <w:p w14:paraId="4225EF14" w14:textId="77777777" w:rsidR="002919A0" w:rsidRDefault="002919A0">
      <w:pPr>
        <w:tabs>
          <w:tab w:val="left" w:pos="284"/>
        </w:tabs>
        <w:ind w:left="284" w:hanging="284"/>
        <w:outlineLvl w:val="3"/>
      </w:pPr>
    </w:p>
    <w:p w14:paraId="4451A49D" w14:textId="77777777" w:rsidR="002919A0" w:rsidRDefault="00594B40">
      <w:pPr>
        <w:tabs>
          <w:tab w:val="left" w:pos="284"/>
        </w:tabs>
        <w:ind w:left="284" w:hanging="284"/>
        <w:outlineLvl w:val="3"/>
        <w:rPr>
          <w:sz w:val="18"/>
          <w:szCs w:val="18"/>
        </w:rPr>
      </w:pPr>
      <w:r>
        <w:rPr>
          <w:sz w:val="18"/>
          <w:szCs w:val="18"/>
        </w:rPr>
        <w:t>Uno a scelta tra i seguenti:</w:t>
      </w:r>
    </w:p>
    <w:p w14:paraId="0B24E66B" w14:textId="0751F7F9" w:rsidR="002919A0" w:rsidRPr="00FF1DAC" w:rsidRDefault="00FF1DAC">
      <w:pPr>
        <w:rPr>
          <w:rFonts w:cs="Times New Roman"/>
          <w:i/>
          <w:iCs/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</w:rPr>
        <w:t>S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>C</w:t>
      </w:r>
      <w:r w:rsidR="00594B40" w:rsidRPr="00FF1DAC">
        <w:rPr>
          <w:smallCaps/>
          <w:spacing w:val="-5"/>
          <w:sz w:val="16"/>
        </w:rPr>
        <w:t>oluccelli</w:t>
      </w:r>
      <w:proofErr w:type="spellEnd"/>
      <w:r w:rsidR="00594B40" w:rsidRPr="00FF1DAC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S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>P</w:t>
      </w:r>
      <w:r w:rsidR="00594B40" w:rsidRPr="00FF1DAC">
        <w:rPr>
          <w:smallCaps/>
          <w:spacing w:val="-5"/>
          <w:sz w:val="16"/>
        </w:rPr>
        <w:t>ietrantonio</w:t>
      </w:r>
      <w:proofErr w:type="spellEnd"/>
      <w:r w:rsidR="00594B40">
        <w:rPr>
          <w:smallCaps/>
          <w:spacing w:val="-5"/>
        </w:rPr>
        <w:t xml:space="preserve">, </w:t>
      </w:r>
      <w:r w:rsidR="00594B40" w:rsidRPr="00FF1DAC">
        <w:rPr>
          <w:rFonts w:cs="Times New Roman"/>
          <w:i/>
          <w:iCs/>
          <w:spacing w:val="-5"/>
          <w:sz w:val="18"/>
          <w:szCs w:val="18"/>
        </w:rPr>
        <w:t xml:space="preserve">Il metodo Montessori oggi. Riflessioni e percorsi per la didattica e l’educazione, </w:t>
      </w:r>
      <w:proofErr w:type="spellStart"/>
      <w:r w:rsidR="00594B40" w:rsidRPr="00FF1DAC">
        <w:rPr>
          <w:rFonts w:cs="Times New Roman"/>
          <w:spacing w:val="-5"/>
          <w:sz w:val="18"/>
          <w:szCs w:val="18"/>
        </w:rPr>
        <w:t>Erickson</w:t>
      </w:r>
      <w:proofErr w:type="spellEnd"/>
      <w:r w:rsidR="00594B40" w:rsidRPr="00FF1DAC">
        <w:rPr>
          <w:rFonts w:cs="Times New Roman"/>
          <w:spacing w:val="-5"/>
          <w:sz w:val="18"/>
          <w:szCs w:val="18"/>
        </w:rPr>
        <w:t xml:space="preserve"> 2017</w:t>
      </w:r>
      <w:r w:rsidR="004E2736">
        <w:rPr>
          <w:rFonts w:cs="Times New Roman"/>
          <w:spacing w:val="-5"/>
          <w:sz w:val="18"/>
          <w:szCs w:val="18"/>
        </w:rPr>
        <w:t xml:space="preserve"> </w:t>
      </w:r>
      <w:hyperlink r:id="rId8" w:history="1">
        <w:r w:rsidR="004E2736" w:rsidRPr="004E2736">
          <w:rPr>
            <w:rStyle w:val="Collegamentoipertestuale"/>
            <w:rFonts w:cs="Times New Roman"/>
            <w:spacing w:val="-5"/>
            <w:sz w:val="18"/>
            <w:szCs w:val="18"/>
          </w:rPr>
          <w:t>Acquista da V&amp;P</w:t>
        </w:r>
      </w:hyperlink>
    </w:p>
    <w:p w14:paraId="21A84002" w14:textId="52B21027" w:rsidR="002919A0" w:rsidRPr="00FF1DAC" w:rsidRDefault="00FF1DAC">
      <w:pPr>
        <w:rPr>
          <w:rFonts w:cs="Times New Roman"/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</w:rPr>
        <w:t>A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>C</w:t>
      </w:r>
      <w:r w:rsidR="00594B40" w:rsidRPr="00FF1DAC">
        <w:rPr>
          <w:smallCaps/>
          <w:spacing w:val="-5"/>
          <w:sz w:val="16"/>
        </w:rPr>
        <w:t>anevaro</w:t>
      </w:r>
      <w:proofErr w:type="spellEnd"/>
      <w:r w:rsidR="00594B40" w:rsidRPr="00FF1DAC"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M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>G</w:t>
      </w:r>
      <w:r w:rsidR="00594B40" w:rsidRPr="00FF1DAC">
        <w:rPr>
          <w:smallCaps/>
          <w:spacing w:val="-5"/>
          <w:sz w:val="16"/>
        </w:rPr>
        <w:t>ianni</w:t>
      </w:r>
      <w:proofErr w:type="spellEnd"/>
      <w:r w:rsidR="00594B40" w:rsidRPr="00FF1DAC"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L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>C</w:t>
      </w:r>
      <w:r w:rsidR="00594B40" w:rsidRPr="00FF1DAC">
        <w:rPr>
          <w:smallCaps/>
          <w:spacing w:val="-5"/>
          <w:sz w:val="16"/>
        </w:rPr>
        <w:t>allegari</w:t>
      </w:r>
      <w:proofErr w:type="spellEnd"/>
      <w:r w:rsidR="00594B40" w:rsidRPr="00FF1DAC">
        <w:rPr>
          <w:smallCaps/>
          <w:spacing w:val="-5"/>
          <w:sz w:val="16"/>
        </w:rPr>
        <w:t xml:space="preserve">, </w:t>
      </w:r>
      <w:r>
        <w:rPr>
          <w:smallCaps/>
          <w:spacing w:val="-5"/>
          <w:sz w:val="16"/>
        </w:rPr>
        <w:t>R</w:t>
      </w:r>
      <w:r w:rsidR="00594B40" w:rsidRPr="00FF1DAC">
        <w:rPr>
          <w:smallCaps/>
          <w:spacing w:val="-5"/>
          <w:sz w:val="16"/>
        </w:rPr>
        <w:t>.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Z</w:t>
      </w:r>
      <w:r w:rsidR="00594B40" w:rsidRPr="00FF1DAC">
        <w:rPr>
          <w:smallCaps/>
          <w:spacing w:val="-5"/>
          <w:sz w:val="16"/>
        </w:rPr>
        <w:t>offoli</w:t>
      </w:r>
      <w:proofErr w:type="spellEnd"/>
      <w:r w:rsidR="00594B40" w:rsidRPr="00FF1DAC">
        <w:rPr>
          <w:rFonts w:cs="Times New Roman"/>
          <w:smallCaps/>
          <w:spacing w:val="-5"/>
          <w:sz w:val="18"/>
          <w:szCs w:val="18"/>
        </w:rPr>
        <w:t xml:space="preserve">, </w:t>
      </w:r>
      <w:r w:rsidR="00594B40" w:rsidRPr="00FF1DAC">
        <w:rPr>
          <w:rFonts w:cs="Times New Roman"/>
          <w:i/>
          <w:iCs/>
          <w:spacing w:val="-5"/>
          <w:sz w:val="18"/>
          <w:szCs w:val="18"/>
        </w:rPr>
        <w:t xml:space="preserve">L’accompagnamento nel progetto di vita inclusivo, </w:t>
      </w:r>
      <w:proofErr w:type="spellStart"/>
      <w:proofErr w:type="gramStart"/>
      <w:r w:rsidR="00594B40" w:rsidRPr="00FF1DAC">
        <w:rPr>
          <w:rFonts w:cs="Times New Roman"/>
          <w:spacing w:val="-5"/>
          <w:sz w:val="18"/>
          <w:szCs w:val="18"/>
        </w:rPr>
        <w:t>Erickson</w:t>
      </w:r>
      <w:proofErr w:type="spellEnd"/>
      <w:r w:rsidR="00594B40" w:rsidRPr="00FF1DAC">
        <w:rPr>
          <w:rFonts w:cs="Times New Roman"/>
          <w:spacing w:val="-5"/>
          <w:sz w:val="18"/>
          <w:szCs w:val="18"/>
        </w:rPr>
        <w:t xml:space="preserve">  2021</w:t>
      </w:r>
      <w:proofErr w:type="gramEnd"/>
      <w:r w:rsidR="00594B40" w:rsidRPr="00FF1DAC">
        <w:rPr>
          <w:rFonts w:cs="Times New Roman"/>
          <w:spacing w:val="-5"/>
          <w:sz w:val="18"/>
          <w:szCs w:val="18"/>
        </w:rPr>
        <w:t xml:space="preserve"> </w:t>
      </w:r>
      <w:hyperlink r:id="rId9" w:history="1">
        <w:r w:rsidR="004E2736" w:rsidRPr="004E2736">
          <w:rPr>
            <w:rStyle w:val="Collegamentoipertestuale"/>
            <w:rFonts w:cs="Times New Roman"/>
            <w:spacing w:val="-5"/>
            <w:sz w:val="18"/>
            <w:szCs w:val="18"/>
          </w:rPr>
          <w:t>Acquista da V&amp;P</w:t>
        </w:r>
      </w:hyperlink>
    </w:p>
    <w:p w14:paraId="4EAC5BDA" w14:textId="077B9EB4" w:rsidR="002919A0" w:rsidRPr="00FF1DAC" w:rsidRDefault="00FF1DAC">
      <w:pPr>
        <w:rPr>
          <w:rFonts w:cs="Times New Roman"/>
          <w:spacing w:val="-5"/>
          <w:sz w:val="18"/>
          <w:szCs w:val="18"/>
        </w:rPr>
      </w:pPr>
      <w:proofErr w:type="spellStart"/>
      <w:r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="00594B40" w:rsidRPr="00FF1DAC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.Robinson</w:t>
      </w:r>
      <w:proofErr w:type="spellEnd"/>
      <w:r w:rsidR="00594B40" w:rsidRPr="00FF1DAC">
        <w:rPr>
          <w:rFonts w:cs="Times New Roman"/>
          <w:smallCaps/>
          <w:spacing w:val="-5"/>
          <w:sz w:val="18"/>
          <w:szCs w:val="18"/>
        </w:rPr>
        <w:t xml:space="preserve">, </w:t>
      </w:r>
      <w:r w:rsidR="00594B40" w:rsidRPr="00FF1DAC">
        <w:rPr>
          <w:rFonts w:cs="Times New Roman"/>
          <w:i/>
          <w:iCs/>
          <w:spacing w:val="-5"/>
          <w:sz w:val="18"/>
          <w:szCs w:val="18"/>
        </w:rPr>
        <w:t xml:space="preserve">Scuola creativa. Manifesto per una nuova educazione, </w:t>
      </w:r>
      <w:proofErr w:type="spellStart"/>
      <w:proofErr w:type="gramStart"/>
      <w:r w:rsidR="00594B40" w:rsidRPr="00FF1DAC">
        <w:rPr>
          <w:rFonts w:cs="Times New Roman"/>
          <w:spacing w:val="-5"/>
          <w:sz w:val="18"/>
          <w:szCs w:val="18"/>
        </w:rPr>
        <w:t>Erickson</w:t>
      </w:r>
      <w:proofErr w:type="spellEnd"/>
      <w:r w:rsidR="00594B40" w:rsidRPr="00FF1DAC">
        <w:rPr>
          <w:rFonts w:cs="Times New Roman"/>
          <w:spacing w:val="-5"/>
          <w:sz w:val="18"/>
          <w:szCs w:val="18"/>
        </w:rPr>
        <w:t xml:space="preserve">  2016</w:t>
      </w:r>
      <w:proofErr w:type="gramEnd"/>
      <w:r w:rsidR="004E2736">
        <w:rPr>
          <w:rFonts w:cs="Times New Roman"/>
          <w:spacing w:val="-5"/>
          <w:sz w:val="18"/>
          <w:szCs w:val="18"/>
        </w:rPr>
        <w:t xml:space="preserve"> </w:t>
      </w:r>
      <w:hyperlink r:id="rId10" w:history="1">
        <w:r w:rsidR="004E2736" w:rsidRPr="004E2736">
          <w:rPr>
            <w:rStyle w:val="Collegamentoipertestuale"/>
            <w:rFonts w:cs="Times New Roman"/>
            <w:spacing w:val="-5"/>
            <w:sz w:val="18"/>
            <w:szCs w:val="18"/>
          </w:rPr>
          <w:t>Acquista da V&amp;P</w:t>
        </w:r>
      </w:hyperlink>
    </w:p>
    <w:p w14:paraId="454C8CD7" w14:textId="0EE321C8" w:rsidR="002919A0" w:rsidRPr="00FF1DAC" w:rsidRDefault="00FF1DAC">
      <w:pPr>
        <w:rPr>
          <w:rFonts w:cs="Times New Roman"/>
          <w:spacing w:val="-5"/>
          <w:sz w:val="18"/>
          <w:szCs w:val="18"/>
        </w:rPr>
      </w:pPr>
      <w:proofErr w:type="spellStart"/>
      <w:r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="00594B40"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594B40"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vancini</w:t>
      </w:r>
      <w:proofErr w:type="spellEnd"/>
      <w:r w:rsidR="00594B40"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594B40"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="00594B40" w:rsidRPr="00E94A39">
        <w:rPr>
          <w:rFonts w:cs="Times New Roman"/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ertoglio</w:t>
      </w:r>
      <w:proofErr w:type="spellEnd"/>
      <w:r w:rsidR="00594B40" w:rsidRPr="00FF1DAC">
        <w:rPr>
          <w:rFonts w:cs="Times New Roman"/>
          <w:smallCaps/>
          <w:spacing w:val="-5"/>
          <w:sz w:val="18"/>
          <w:szCs w:val="18"/>
        </w:rPr>
        <w:t xml:space="preserve">, </w:t>
      </w:r>
      <w:r w:rsidR="00594B40" w:rsidRPr="00FF1DAC">
        <w:rPr>
          <w:rFonts w:cs="Times New Roman"/>
          <w:i/>
          <w:iCs/>
          <w:spacing w:val="-5"/>
          <w:sz w:val="18"/>
          <w:szCs w:val="18"/>
        </w:rPr>
        <w:t xml:space="preserve">Il PAI passo dopo passo. Strumenti per la costruzione del Piano Assistenziale Individualizzato con l’anziano, </w:t>
      </w:r>
      <w:proofErr w:type="spellStart"/>
      <w:r w:rsidR="00594B40" w:rsidRPr="00FF1DAC">
        <w:rPr>
          <w:rFonts w:cs="Times New Roman"/>
          <w:spacing w:val="-5"/>
          <w:sz w:val="18"/>
          <w:szCs w:val="18"/>
        </w:rPr>
        <w:t>Erickson</w:t>
      </w:r>
      <w:proofErr w:type="spellEnd"/>
      <w:r w:rsidR="00594B40" w:rsidRPr="00FF1DAC">
        <w:rPr>
          <w:rFonts w:cs="Times New Roman"/>
          <w:spacing w:val="-5"/>
          <w:sz w:val="18"/>
          <w:szCs w:val="18"/>
        </w:rPr>
        <w:t xml:space="preserve"> 2022</w:t>
      </w:r>
      <w:r w:rsidR="004E2736">
        <w:rPr>
          <w:rFonts w:cs="Times New Roman"/>
          <w:spacing w:val="-5"/>
          <w:sz w:val="18"/>
          <w:szCs w:val="18"/>
        </w:rPr>
        <w:t xml:space="preserve"> </w:t>
      </w:r>
      <w:hyperlink r:id="rId11" w:history="1">
        <w:r w:rsidR="004E2736" w:rsidRPr="004E2736">
          <w:rPr>
            <w:rStyle w:val="Collegamentoipertestuale"/>
            <w:rFonts w:cs="Times New Roman"/>
            <w:spacing w:val="-5"/>
            <w:sz w:val="18"/>
            <w:szCs w:val="18"/>
          </w:rPr>
          <w:t>Acquista da V&amp;P</w:t>
        </w:r>
      </w:hyperlink>
    </w:p>
    <w:p w14:paraId="24C3FB5C" w14:textId="77777777" w:rsidR="002919A0" w:rsidRPr="00FF1DAC" w:rsidRDefault="00594B40">
      <w:pPr>
        <w:rPr>
          <w:rFonts w:cs="Times New Roman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4A39">
        <w:rPr>
          <w:rFonts w:cs="Times New Roman"/>
          <w:smallCaps/>
          <w:spacing w:val="-5"/>
          <w:sz w:val="16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F. </w:t>
      </w:r>
      <w:proofErr w:type="spellStart"/>
      <w:r w:rsidRPr="00E94A39">
        <w:rPr>
          <w:rFonts w:cs="Times New Roman"/>
          <w:smallCaps/>
          <w:spacing w:val="-5"/>
          <w:sz w:val="16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Iurlaro</w:t>
      </w:r>
      <w:proofErr w:type="spellEnd"/>
      <w:r w:rsidRPr="00FF1DAC">
        <w:rPr>
          <w:rFonts w:cs="Times New Roman"/>
          <w:smallCaps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bookmarkStart w:id="0" w:name="_GoBack"/>
      <w:r w:rsidRPr="00FF1DAC">
        <w:rPr>
          <w:rFonts w:cs="Times New Roman"/>
          <w:i/>
          <w:iCs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Sarà un paese per vecchi</w:t>
      </w:r>
      <w:bookmarkEnd w:id="0"/>
      <w:r w:rsidRPr="00FF1DAC">
        <w:rPr>
          <w:rFonts w:cs="Times New Roman"/>
          <w:i/>
          <w:iCs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. Idee per valorizzare l’età anziana, innovare le politiche di cura, costruire il futuro dei servizi,</w:t>
      </w:r>
      <w:r w:rsidRPr="00FF1DAC">
        <w:rPr>
          <w:rFonts w:cs="Times New Roman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FF1DAC">
        <w:rPr>
          <w:rFonts w:cs="Times New Roman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Dapero</w:t>
      </w:r>
      <w:proofErr w:type="spellEnd"/>
      <w:r w:rsidRPr="00FF1DAC">
        <w:rPr>
          <w:rFonts w:cs="Times New Roman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14:paraId="0D8EB771" w14:textId="77777777" w:rsidR="002919A0" w:rsidRDefault="00594B4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37201450" w14:textId="77777777" w:rsidR="002919A0" w:rsidRDefault="00594B4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frontali, con materiali a disposizione dello studente resi preventivamente fruibili  con l’ausilio della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. Inoltre, verranno svolti alcuni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work, secondo mandati di lavoro forniti dal docente. </w:t>
      </w:r>
    </w:p>
    <w:p w14:paraId="64B8059F" w14:textId="77777777" w:rsidR="002919A0" w:rsidRDefault="00594B4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02BC8653" w14:textId="77777777" w:rsidR="002919A0" w:rsidRDefault="00594B4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L’esame sarà sostenuto in forma orale. </w:t>
      </w:r>
    </w:p>
    <w:p w14:paraId="1579BE4D" w14:textId="77777777" w:rsidR="002919A0" w:rsidRDefault="00594B40">
      <w:pPr>
        <w:spacing w:before="240" w:after="120"/>
        <w:rPr>
          <w:sz w:val="18"/>
          <w:szCs w:val="18"/>
          <w:u w:val="single"/>
        </w:rPr>
      </w:pPr>
      <w:r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7A864086" w14:textId="77777777" w:rsidR="002919A0" w:rsidRDefault="00594B4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B666080" w14:textId="77777777" w:rsidR="002919A0" w:rsidRDefault="00594B4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Il corso non necessità di prerequisiti relativi ai contenuti.</w:t>
      </w:r>
    </w:p>
    <w:p w14:paraId="7190BFE0" w14:textId="77777777" w:rsidR="002919A0" w:rsidRDefault="002919A0">
      <w:pPr>
        <w:pStyle w:val="Testo2"/>
        <w:ind w:firstLine="0"/>
      </w:pPr>
    </w:p>
    <w:p w14:paraId="591DE91D" w14:textId="77777777" w:rsidR="002919A0" w:rsidRDefault="00594B40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6B84D75F" w14:textId="77777777" w:rsidR="002919A0" w:rsidRDefault="00594B40">
      <w:r>
        <w:rPr>
          <w:sz w:val="18"/>
          <w:szCs w:val="18"/>
        </w:rPr>
        <w:t xml:space="preserve">Il prof. Roberto Franchini riceve gli studenti prima o dopo la lezione, previo appuntamento via e-mail: </w:t>
      </w:r>
      <w:hyperlink r:id="rId12" w:history="1">
        <w:r>
          <w:rPr>
            <w:rStyle w:val="Hyperlink0"/>
            <w:rFonts w:eastAsia="Arial Unicode MS"/>
          </w:rPr>
          <w:t>roberto.franchini@unicatt.it</w:t>
        </w:r>
      </w:hyperlink>
      <w:r>
        <w:rPr>
          <w:rStyle w:val="Hyperlink0"/>
          <w:rFonts w:eastAsia="Arial Unicode MS"/>
        </w:rPr>
        <w:t>.</w:t>
      </w:r>
    </w:p>
    <w:sectPr w:rsidR="002919A0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7949" w14:textId="77777777" w:rsidR="008F55A6" w:rsidRDefault="00594B40">
      <w:pPr>
        <w:spacing w:line="240" w:lineRule="auto"/>
      </w:pPr>
      <w:r>
        <w:separator/>
      </w:r>
    </w:p>
  </w:endnote>
  <w:endnote w:type="continuationSeparator" w:id="0">
    <w:p w14:paraId="4B18FE18" w14:textId="77777777" w:rsidR="008F55A6" w:rsidRDefault="00594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AD2D" w14:textId="77777777" w:rsidR="002919A0" w:rsidRDefault="002919A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4F8C" w14:textId="77777777" w:rsidR="008F55A6" w:rsidRDefault="00594B40">
      <w:pPr>
        <w:spacing w:line="240" w:lineRule="auto"/>
      </w:pPr>
      <w:r>
        <w:separator/>
      </w:r>
    </w:p>
  </w:footnote>
  <w:footnote w:type="continuationSeparator" w:id="0">
    <w:p w14:paraId="3C2E3038" w14:textId="77777777" w:rsidR="008F55A6" w:rsidRDefault="00594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D866" w14:textId="77777777" w:rsidR="002919A0" w:rsidRDefault="002919A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40DB0"/>
    <w:multiLevelType w:val="hybridMultilevel"/>
    <w:tmpl w:val="80EED0F4"/>
    <w:styleLink w:val="Puntielenco"/>
    <w:lvl w:ilvl="0" w:tplc="B70E0F6E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7025A0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144CFE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F84754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C6B550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9C5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079F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ECF2F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1052D2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7F550D"/>
    <w:multiLevelType w:val="hybridMultilevel"/>
    <w:tmpl w:val="80EED0F4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A0"/>
    <w:rsid w:val="002919A0"/>
    <w:rsid w:val="004E2736"/>
    <w:rsid w:val="00594B40"/>
    <w:rsid w:val="008F55A6"/>
    <w:rsid w:val="00E94A39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499"/>
  <w15:docId w15:val="{3FB5FBAE-435C-4A2C-A101-3DCA4FB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eastAsia="Times New Roman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onia-coluccelli-silvia-pietrantonio/il-metodo-montessori-oggi-riflessioni-e-percorsi-per-la-didattica-e-leducazione-9788859014447-256512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igi-dalonzo/pedagogia-speciale-per-linclusione-9788828400356-552904.html" TargetMode="External"/><Relationship Id="rId12" Type="http://schemas.openxmlformats.org/officeDocument/2006/relationships/hyperlink" Target="mailto:roberto.franchini@unicat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giulia-avancini-clara-bertoglio/il-pai-passo-dopo-passo-strumenti-per-la-costruzione-del-piano-assistenziale-individualizzato-con-lanziano-9788859029236-71285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ken-robinson-lou-aronica/scuola-creativa-manifesto-per-una-nuova-educazione-9788859012252-2444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drea-canevaro-michele-gianni-leonardo-calligari/laccompagnamento-nel-progetto-di-vita-inclusivo-9788859026556-6965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dcterms:created xsi:type="dcterms:W3CDTF">2023-05-04T14:58:00Z</dcterms:created>
  <dcterms:modified xsi:type="dcterms:W3CDTF">2024-02-27T16:02:00Z</dcterms:modified>
</cp:coreProperties>
</file>