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7BE0" w14:textId="48404E71" w:rsidR="00E60CA0" w:rsidRDefault="00D94523" w:rsidP="004045E6">
      <w:pPr>
        <w:pStyle w:val="Titolo1"/>
        <w:ind w:left="0" w:firstLine="0"/>
      </w:pPr>
      <w:r>
        <w:t>Branding e comunicazione internazionale</w:t>
      </w:r>
    </w:p>
    <w:p w14:paraId="2AB923CE" w14:textId="1EC925B8" w:rsidR="00E60CA0" w:rsidRDefault="00E60CA0" w:rsidP="00E60CA0">
      <w:pPr>
        <w:pStyle w:val="Titolo2"/>
      </w:pPr>
      <w:r w:rsidRPr="00F82642">
        <w:t>Prof.</w:t>
      </w:r>
      <w:r w:rsidR="004045E6">
        <w:t xml:space="preserve">ssa </w:t>
      </w:r>
      <w:r w:rsidRPr="00F82642">
        <w:t>Rossella Chiara Gambetti</w:t>
      </w:r>
      <w:r w:rsidR="004045E6">
        <w:t xml:space="preserve">, </w:t>
      </w:r>
      <w:r w:rsidR="00D94523">
        <w:t>Prof.</w:t>
      </w:r>
      <w:r w:rsidR="004045E6">
        <w:t>ssa</w:t>
      </w:r>
      <w:r w:rsidR="00D94523">
        <w:t xml:space="preserve"> Stefania Boleso</w:t>
      </w:r>
    </w:p>
    <w:p w14:paraId="1B9F711A" w14:textId="72240082" w:rsidR="006F1772" w:rsidRDefault="00E60CA0" w:rsidP="00E60C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A7EB0">
        <w:rPr>
          <w:b/>
          <w:i/>
          <w:sz w:val="18"/>
        </w:rPr>
        <w:t xml:space="preserve"> E RISULTATI DI APPRENDIMENTO ATTESI</w:t>
      </w:r>
    </w:p>
    <w:p w14:paraId="4EC2AF10" w14:textId="5A167AB1" w:rsidR="00E60CA0" w:rsidRDefault="00E60CA0" w:rsidP="00E60CA0">
      <w:r>
        <w:t xml:space="preserve">Il corso intende </w:t>
      </w:r>
      <w:r w:rsidR="00D94523">
        <w:t>offrire agli studenti un’esperienza immersiva nel mondo della marca, volto a far comprendere agli studenti il ruolo contemporaneo della marca come risorsa culturale e come territorio di relazione tra l’azienda e il consumatore nell’era della tecnocultura</w:t>
      </w:r>
      <w:r w:rsidR="00B40627">
        <w:t xml:space="preserve"> e dei social media in un contesto globale</w:t>
      </w:r>
      <w:r>
        <w:t>.</w:t>
      </w:r>
    </w:p>
    <w:p w14:paraId="55CA85D5" w14:textId="75F49CE3" w:rsidR="00E60CA0" w:rsidRDefault="00E60CA0" w:rsidP="00E60CA0">
      <w:r>
        <w:t xml:space="preserve">A tal proposito, il corso </w:t>
      </w:r>
      <w:r w:rsidR="00B40627">
        <w:t>analizza</w:t>
      </w:r>
      <w:r>
        <w:t xml:space="preserve"> con un approccio multidisciplinare (</w:t>
      </w:r>
      <w:r w:rsidR="00CA7EB0">
        <w:t>culturale</w:t>
      </w:r>
      <w:r>
        <w:t xml:space="preserve"> e manageriale) il ruolo strategico svolto dalla marca nell’attuale contesto competitivo, così come le sfide che ne stimolano una continua evoluzione per consentire alle aziende di conseguire un vantaggio differenziale. A tal proposito, della marca si propongono sia un’analisi del concetto, delle funzioni </w:t>
      </w:r>
      <w:r w:rsidR="00CA7EB0">
        <w:t>svolte nel corso del</w:t>
      </w:r>
      <w:r>
        <w:t xml:space="preserve"> tempo, della brand identity e del posizionamento, sia l’illustrazione delle più attuali </w:t>
      </w:r>
      <w:r w:rsidR="00CA7EB0">
        <w:t xml:space="preserve">ed emergenti </w:t>
      </w:r>
      <w:r>
        <w:t xml:space="preserve">strategie </w:t>
      </w:r>
      <w:r w:rsidR="007E235B">
        <w:t xml:space="preserve">– come quelle di self-branding attuate nella influencer e creator economy - </w:t>
      </w:r>
      <w:r>
        <w:t xml:space="preserve">attuate a livello comunicativo per instaurare una relazione </w:t>
      </w:r>
      <w:r w:rsidR="00CA7EB0">
        <w:t>efficace</w:t>
      </w:r>
      <w:r>
        <w:t xml:space="preserve"> con </w:t>
      </w:r>
      <w:r w:rsidR="008C20C6">
        <w:t xml:space="preserve">un </w:t>
      </w:r>
      <w:r>
        <w:t>consumatore</w:t>
      </w:r>
      <w:r w:rsidR="008C20C6">
        <w:t xml:space="preserve"> sempre più attivo e consapevole</w:t>
      </w:r>
      <w:r>
        <w:t>.</w:t>
      </w:r>
    </w:p>
    <w:p w14:paraId="34AEA68B" w14:textId="061AF0E7" w:rsidR="00CA7EB0" w:rsidRDefault="00CA7EB0" w:rsidP="00E60CA0">
      <w:r>
        <w:t xml:space="preserve">Al termine dell’insegnamento lo studente avrà acquisito le conoscenze </w:t>
      </w:r>
      <w:r w:rsidR="00DF35BD">
        <w:t xml:space="preserve">necessarie alla comprensione sia del ruolo strategico che la </w:t>
      </w:r>
      <w:r w:rsidR="00B40627">
        <w:t>marca</w:t>
      </w:r>
      <w:r w:rsidR="00DF35BD">
        <w:t xml:space="preserve"> svolge all’interno e all’esterno dell’impresa verso il sistema degli stakeholder, sia della molteplicità dei touch-point e delle modalità </w:t>
      </w:r>
      <w:r w:rsidR="008C20C6">
        <w:t xml:space="preserve">espressive </w:t>
      </w:r>
      <w:r w:rsidR="00DF35BD">
        <w:t xml:space="preserve">attraverso cui </w:t>
      </w:r>
      <w:r w:rsidR="008C20C6">
        <w:t xml:space="preserve">la </w:t>
      </w:r>
      <w:r w:rsidR="00DF35BD">
        <w:t>comunicazione consent</w:t>
      </w:r>
      <w:r w:rsidR="008C20C6">
        <w:t>e</w:t>
      </w:r>
      <w:r w:rsidR="00DF35BD">
        <w:t xml:space="preserve"> all’impresa </w:t>
      </w:r>
      <w:r w:rsidR="008C20C6">
        <w:t xml:space="preserve">e al consumatore </w:t>
      </w:r>
      <w:r w:rsidR="00DF35BD">
        <w:t>di generare valore per il mercato</w:t>
      </w:r>
      <w:r w:rsidR="00B40627">
        <w:t xml:space="preserve"> in un contesto internazionale</w:t>
      </w:r>
      <w:r w:rsidR="00DF35BD">
        <w:t xml:space="preserve">. Inoltre, al termine dell’insegnamento </w:t>
      </w:r>
      <w:r w:rsidR="008C20C6">
        <w:t xml:space="preserve">lo studente </w:t>
      </w:r>
      <w:r w:rsidR="00DF35BD">
        <w:t xml:space="preserve">avrà </w:t>
      </w:r>
      <w:r w:rsidR="008C20C6">
        <w:t>sviluppato</w:t>
      </w:r>
      <w:r w:rsidR="00DF35BD">
        <w:t xml:space="preserve"> una conoscenza critica nei confronti </w:t>
      </w:r>
      <w:r w:rsidR="00C96F9E">
        <w:t>dei trend di consumo in relazione al loro impatto sullo stile di vita delle persone e sulle dinamiche di comunicazione</w:t>
      </w:r>
      <w:r w:rsidR="00B40627">
        <w:t xml:space="preserve"> e alle modalità con cui le marche </w:t>
      </w:r>
      <w:r w:rsidR="00FA6AFD">
        <w:t>si inseriscono nei trend di consumo al fine di diventare lifestyle brand in grado di ispirare cambiamenti culturali</w:t>
      </w:r>
      <w:r w:rsidR="00C96F9E">
        <w:t xml:space="preserve">. Queste conoscenze </w:t>
      </w:r>
      <w:r w:rsidR="00DF35BD">
        <w:t>consentir</w:t>
      </w:r>
      <w:r w:rsidR="00C96F9E">
        <w:t>anno allo studente</w:t>
      </w:r>
      <w:r w:rsidR="00DF35BD">
        <w:t xml:space="preserve"> di valutare </w:t>
      </w:r>
      <w:r w:rsidR="008C20C6">
        <w:t xml:space="preserve">l’efficacia delle strategie comunicative attuate dalle </w:t>
      </w:r>
      <w:r w:rsidR="00FA6AFD">
        <w:t>marche</w:t>
      </w:r>
      <w:r w:rsidR="008C20C6">
        <w:t>, con particolare riguardo alle strategie volte a suscitare l’engagement del consumatore</w:t>
      </w:r>
      <w:r w:rsidR="002641D0">
        <w:t xml:space="preserve"> e a sviluppare aderenza culturale al loro stile di vita</w:t>
      </w:r>
      <w:r w:rsidR="008C20C6">
        <w:t xml:space="preserve">. Infine, grazie alla partecipazione ad un project work a gruppi volto ad affrontare le richieste di un brief aziendale reale, lo studente avrà maturato una capacità progettuale che gli consentirà di risolvere le problematiche emergenti di </w:t>
      </w:r>
      <w:r w:rsidR="00FA6AFD">
        <w:t>comunicazione</w:t>
      </w:r>
      <w:r w:rsidR="008C20C6">
        <w:t xml:space="preserve"> e di consumer engagement che le marche sono chiamate ad affrontare nel contesto competitivo contemporaneo.</w:t>
      </w:r>
    </w:p>
    <w:p w14:paraId="557D11F2" w14:textId="77777777" w:rsidR="00E60CA0" w:rsidRDefault="00E60CA0" w:rsidP="00E60C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C0FBC3" w14:textId="795AC458" w:rsidR="0056196B" w:rsidRPr="00F82642" w:rsidRDefault="0056196B" w:rsidP="0056196B">
      <w:pPr>
        <w:spacing w:before="120"/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t xml:space="preserve">Parte </w:t>
      </w:r>
      <w:r>
        <w:rPr>
          <w:smallCaps/>
          <w:sz w:val="18"/>
          <w:szCs w:val="18"/>
        </w:rPr>
        <w:t>Istituzionale</w:t>
      </w:r>
    </w:p>
    <w:p w14:paraId="63A8047C" w14:textId="77777777" w:rsidR="0056196B" w:rsidRDefault="0056196B" w:rsidP="00E60CA0">
      <w:pPr>
        <w:rPr>
          <w:i/>
        </w:rPr>
      </w:pPr>
    </w:p>
    <w:p w14:paraId="071D655F" w14:textId="7D954C96" w:rsidR="00D51DE6" w:rsidRDefault="00FA6AFD" w:rsidP="004045E6">
      <w:pPr>
        <w:rPr>
          <w:i/>
        </w:rPr>
      </w:pPr>
      <w:r>
        <w:rPr>
          <w:i/>
        </w:rPr>
        <w:t xml:space="preserve">Lo scenario attuale di comunicazione in cui le marche si muovono </w:t>
      </w:r>
    </w:p>
    <w:p w14:paraId="45B46B43" w14:textId="4B56BA7F" w:rsidR="00D51DE6" w:rsidRDefault="00D51DE6" w:rsidP="004045E6">
      <w:pPr>
        <w:ind w:left="284" w:hangingChars="142" w:hanging="284"/>
      </w:pPr>
      <w:r>
        <w:t>–</w:t>
      </w:r>
      <w:r>
        <w:tab/>
        <w:t>Comunicazione lineare vs comunicazione reticolare;</w:t>
      </w:r>
    </w:p>
    <w:p w14:paraId="5B823C6B" w14:textId="514146E5" w:rsidR="00D51DE6" w:rsidRDefault="00D51DE6" w:rsidP="004045E6">
      <w:pPr>
        <w:ind w:left="284" w:hangingChars="142" w:hanging="284"/>
        <w:rPr>
          <w:lang w:val="en-US"/>
        </w:rPr>
      </w:pPr>
      <w:r w:rsidRPr="00D51DE6">
        <w:rPr>
          <w:lang w:val="en-US"/>
        </w:rPr>
        <w:t>–</w:t>
      </w:r>
      <w:r w:rsidRPr="00D51DE6">
        <w:rPr>
          <w:lang w:val="en-US"/>
        </w:rPr>
        <w:tab/>
        <w:t>Comunicazione push, pull e do-it-yourself;</w:t>
      </w:r>
    </w:p>
    <w:p w14:paraId="50499176" w14:textId="4663D2B5" w:rsidR="00D51DE6" w:rsidRDefault="00D51DE6" w:rsidP="004045E6">
      <w:pPr>
        <w:ind w:left="284" w:hangingChars="142" w:hanging="284"/>
      </w:pPr>
      <w:r w:rsidRPr="00D51DE6">
        <w:t>–</w:t>
      </w:r>
      <w:r w:rsidRPr="00D51DE6">
        <w:tab/>
        <w:t>Comunicazione autoreferenziale v</w:t>
      </w:r>
      <w:r>
        <w:t>s comunicazione eteroreferenziale.</w:t>
      </w:r>
    </w:p>
    <w:p w14:paraId="43C3C7FF" w14:textId="77777777" w:rsidR="00D51DE6" w:rsidRPr="00D51DE6" w:rsidRDefault="00D51DE6" w:rsidP="004045E6">
      <w:pPr>
        <w:rPr>
          <w:i/>
        </w:rPr>
      </w:pPr>
    </w:p>
    <w:p w14:paraId="20DB9661" w14:textId="1C4B12D0" w:rsidR="00E60CA0" w:rsidRPr="00F82642" w:rsidRDefault="00E60CA0" w:rsidP="004045E6">
      <w:pPr>
        <w:rPr>
          <w:i/>
        </w:rPr>
      </w:pPr>
      <w:r w:rsidRPr="00F82642">
        <w:rPr>
          <w:i/>
        </w:rPr>
        <w:t>La marca. Multidimensionalità, identità, posizionamento e sperimentazione comunicativa</w:t>
      </w:r>
    </w:p>
    <w:p w14:paraId="2324D098" w14:textId="77777777" w:rsidR="00E60CA0" w:rsidRDefault="00E60CA0" w:rsidP="004045E6">
      <w:pPr>
        <w:ind w:left="284" w:hangingChars="142" w:hanging="284"/>
      </w:pPr>
      <w:r>
        <w:t>–</w:t>
      </w:r>
      <w:r>
        <w:tab/>
        <w:t>Il con</w:t>
      </w:r>
      <w:r w:rsidR="0081383F">
        <w:t>cetto e le funzioni della marca;</w:t>
      </w:r>
    </w:p>
    <w:p w14:paraId="79B7759B" w14:textId="79C4A115" w:rsidR="006C277B" w:rsidRDefault="00E60CA0" w:rsidP="004045E6">
      <w:pPr>
        <w:ind w:left="284" w:hangingChars="142" w:hanging="284"/>
      </w:pPr>
      <w:r>
        <w:t>–</w:t>
      </w:r>
      <w:r>
        <w:tab/>
        <w:t>Le dimensioni della brand identity e il processo di brand pos</w:t>
      </w:r>
      <w:r w:rsidR="0081383F">
        <w:t>itioning;</w:t>
      </w:r>
    </w:p>
    <w:p w14:paraId="0764A65B" w14:textId="7CFFF526" w:rsidR="00D51DE6" w:rsidRDefault="00D51DE6" w:rsidP="004045E6">
      <w:pPr>
        <w:ind w:left="284" w:hangingChars="142" w:hanging="284"/>
      </w:pPr>
      <w:r>
        <w:t>–</w:t>
      </w:r>
      <w:r>
        <w:tab/>
        <w:t>Comprendere i trend di consumo</w:t>
      </w:r>
      <w:r w:rsidR="00355E17">
        <w:t xml:space="preserve"> </w:t>
      </w:r>
      <w:r>
        <w:t>e il ruolo delle marche;</w:t>
      </w:r>
    </w:p>
    <w:p w14:paraId="4D9B0A16" w14:textId="0D16147A" w:rsidR="000B62D3" w:rsidRDefault="000B62D3" w:rsidP="004045E6">
      <w:pPr>
        <w:ind w:left="284" w:hangingChars="142" w:hanging="284"/>
      </w:pPr>
      <w:r>
        <w:t>–</w:t>
      </w:r>
      <w:r>
        <w:tab/>
        <w:t>Technoculture, società liquida e nuove forme di aggregazione dei consumatori e di relazione con le marche in ambiente tecnomediato;</w:t>
      </w:r>
    </w:p>
    <w:p w14:paraId="21A7094B" w14:textId="0F5C38C4" w:rsidR="001141C6" w:rsidRDefault="001141C6" w:rsidP="004045E6">
      <w:pPr>
        <w:ind w:left="284" w:hangingChars="142" w:hanging="284"/>
      </w:pPr>
      <w:r>
        <w:t>–</w:t>
      </w:r>
      <w:r>
        <w:tab/>
        <w:t>Consumer empowerment e agenzia del consumatore a favore e contro la marca;</w:t>
      </w:r>
    </w:p>
    <w:p w14:paraId="1DD3765E" w14:textId="51BB6C41" w:rsidR="001141C6" w:rsidRPr="006C277B" w:rsidRDefault="001141C6" w:rsidP="004045E6">
      <w:pPr>
        <w:ind w:left="284" w:hangingChars="142" w:hanging="284"/>
        <w:rPr>
          <w:lang w:val="en-US"/>
        </w:rPr>
      </w:pPr>
      <w:r w:rsidRPr="006C277B">
        <w:rPr>
          <w:lang w:val="en-US"/>
        </w:rPr>
        <w:t>–</w:t>
      </w:r>
      <w:r w:rsidRPr="006C277B">
        <w:rPr>
          <w:lang w:val="en-US"/>
        </w:rPr>
        <w:tab/>
        <w:t>Cultural branding</w:t>
      </w:r>
      <w:r>
        <w:rPr>
          <w:lang w:val="en-US"/>
        </w:rPr>
        <w:t>: real time marketing, brand purpose e brand activism;</w:t>
      </w:r>
    </w:p>
    <w:p w14:paraId="5FFA6A14" w14:textId="4736030D" w:rsidR="001141C6" w:rsidRDefault="001141C6" w:rsidP="004045E6">
      <w:pPr>
        <w:ind w:left="284" w:hangingChars="142" w:hanging="284"/>
      </w:pPr>
      <w:r>
        <w:t>–</w:t>
      </w:r>
      <w:r>
        <w:tab/>
        <w:t xml:space="preserve">Gli influencer </w:t>
      </w:r>
      <w:r w:rsidR="005F6EA5">
        <w:t xml:space="preserve">e i creator </w:t>
      </w:r>
      <w:r>
        <w:t>come nuove marche;</w:t>
      </w:r>
    </w:p>
    <w:p w14:paraId="2ADC1F91" w14:textId="466F50CC" w:rsidR="005F6EA5" w:rsidRDefault="005F6EA5" w:rsidP="005F6EA5">
      <w:pPr>
        <w:ind w:left="284" w:hangingChars="142" w:hanging="284"/>
      </w:pPr>
      <w:r>
        <w:t>–</w:t>
      </w:r>
      <w:r>
        <w:tab/>
        <w:t>Influencer e creator ecosystem: uno sguardo su tutti gli attori della influencer e creator economy e sui loro legami;</w:t>
      </w:r>
    </w:p>
    <w:p w14:paraId="1FF81225" w14:textId="10B650BD" w:rsidR="005F6EA5" w:rsidRPr="0012252D" w:rsidRDefault="005F6EA5" w:rsidP="005F6EA5">
      <w:pPr>
        <w:ind w:left="284" w:hangingChars="142" w:hanging="284"/>
      </w:pPr>
      <w:r w:rsidRPr="0012252D">
        <w:t>–</w:t>
      </w:r>
      <w:r w:rsidRPr="0012252D">
        <w:tab/>
        <w:t>Gli effetti culturali dell’influencer e creator economy: self-presentation, dramatization, intensification, commodification, affective and emotional labor, marketization, selfie culture, cancel</w:t>
      </w:r>
      <w:r>
        <w:t xml:space="preserve"> culture e influencer burnout; </w:t>
      </w:r>
    </w:p>
    <w:p w14:paraId="0ADCD3EF" w14:textId="6BCDF29A" w:rsidR="005F6EA5" w:rsidRDefault="005F6EA5" w:rsidP="005F6EA5">
      <w:pPr>
        <w:ind w:left="284" w:hangingChars="142" w:hanging="284"/>
        <w:rPr>
          <w:lang w:val="en-US"/>
        </w:rPr>
      </w:pPr>
      <w:r w:rsidRPr="00DE570B">
        <w:rPr>
          <w:lang w:val="en-US"/>
        </w:rPr>
        <w:t>–</w:t>
      </w:r>
      <w:r w:rsidRPr="00DE570B">
        <w:rPr>
          <w:lang w:val="en-US"/>
        </w:rPr>
        <w:tab/>
        <w:t>Etica e moralità della influencer e creator economy: fake followers</w:t>
      </w:r>
      <w:r>
        <w:rPr>
          <w:lang w:val="en-US"/>
        </w:rPr>
        <w:t>, fraudulent influencers, animal/pet</w:t>
      </w:r>
      <w:r w:rsidRPr="00DE570B">
        <w:rPr>
          <w:lang w:val="en-US"/>
        </w:rPr>
        <w:t xml:space="preserve"> influencers</w:t>
      </w:r>
      <w:r>
        <w:rPr>
          <w:lang w:val="en-US"/>
        </w:rPr>
        <w:t xml:space="preserve"> e influencer attivisti;</w:t>
      </w:r>
    </w:p>
    <w:p w14:paraId="674DAB1F" w14:textId="146F453C" w:rsidR="005F6EA5" w:rsidRDefault="005F6EA5" w:rsidP="005F6EA5">
      <w:pPr>
        <w:ind w:left="284" w:hangingChars="142" w:hanging="284"/>
        <w:rPr>
          <w:lang w:val="en-US"/>
        </w:rPr>
      </w:pPr>
      <w:r w:rsidRPr="00DE570B">
        <w:rPr>
          <w:lang w:val="en-US"/>
        </w:rPr>
        <w:t>–</w:t>
      </w:r>
      <w:r w:rsidRPr="00DE570B">
        <w:rPr>
          <w:lang w:val="en-US"/>
        </w:rPr>
        <w:tab/>
      </w:r>
      <w:r>
        <w:rPr>
          <w:lang w:val="en-US"/>
        </w:rPr>
        <w:t>Principi di influencer relations e influencer marketing;</w:t>
      </w:r>
    </w:p>
    <w:p w14:paraId="567ACC9E" w14:textId="77777777" w:rsidR="005F6EA5" w:rsidRDefault="005F6EA5" w:rsidP="005F6EA5">
      <w:pPr>
        <w:ind w:left="284" w:hangingChars="142" w:hanging="284"/>
      </w:pPr>
      <w:r>
        <w:t>–</w:t>
      </w:r>
      <w:r w:rsidRPr="00FA01CE">
        <w:tab/>
      </w:r>
      <w:r>
        <w:t xml:space="preserve">Traiettorie di sviluppo, trasformazioni e tecnologie: </w:t>
      </w:r>
    </w:p>
    <w:p w14:paraId="5BBA0F52" w14:textId="51CDB660" w:rsidR="005F6EA5" w:rsidRDefault="005F6EA5" w:rsidP="005F6EA5">
      <w:pPr>
        <w:pStyle w:val="Paragrafoelenco"/>
        <w:numPr>
          <w:ilvl w:val="0"/>
          <w:numId w:val="5"/>
        </w:numPr>
        <w:tabs>
          <w:tab w:val="left" w:pos="284"/>
        </w:tabs>
      </w:pPr>
      <w:r>
        <w:t>influencer e creator come trendsetter e come amplificatori di desiderio;</w:t>
      </w:r>
    </w:p>
    <w:p w14:paraId="78196B11" w14:textId="516EADBB" w:rsidR="005F6EA5" w:rsidRPr="005F6EA5" w:rsidRDefault="005F6EA5" w:rsidP="00100F26">
      <w:pPr>
        <w:pStyle w:val="Paragrafoelenco"/>
        <w:numPr>
          <w:ilvl w:val="0"/>
          <w:numId w:val="5"/>
        </w:numPr>
        <w:tabs>
          <w:tab w:val="left" w:pos="284"/>
        </w:tabs>
      </w:pPr>
      <w:r w:rsidRPr="00E51C63">
        <w:t>synthetic media, AI</w:t>
      </w:r>
      <w:r>
        <w:t xml:space="preserve"> e</w:t>
      </w:r>
      <w:r w:rsidRPr="00E51C63">
        <w:t xml:space="preserve"> virtual influencers</w:t>
      </w:r>
      <w:r>
        <w:t>;</w:t>
      </w:r>
    </w:p>
    <w:p w14:paraId="73A45461" w14:textId="051D9E23" w:rsidR="004A0E95" w:rsidRPr="0003407D" w:rsidRDefault="004A0E95" w:rsidP="00100F26">
      <w:r w:rsidRPr="0003407D">
        <w:t>–</w:t>
      </w:r>
      <w:r w:rsidRPr="0003407D">
        <w:tab/>
      </w:r>
      <w:r w:rsidR="0056196B" w:rsidRPr="0003407D">
        <w:t>Innovazione, sperimentazione e costruzione dell’esperienza di marca</w:t>
      </w:r>
      <w:r w:rsidR="00622A58" w:rsidRPr="0003407D">
        <w:t>:</w:t>
      </w:r>
    </w:p>
    <w:p w14:paraId="3A45ECCD" w14:textId="414CC38A" w:rsidR="009E33EF" w:rsidRDefault="009E33EF" w:rsidP="009E33EF">
      <w:pPr>
        <w:pStyle w:val="Paragrafoelenco"/>
        <w:numPr>
          <w:ilvl w:val="0"/>
          <w:numId w:val="3"/>
        </w:numPr>
        <w:jc w:val="left"/>
      </w:pPr>
      <w:r w:rsidRPr="0003407D">
        <w:t>Personalizzazione, co-creazione, User Generated Content e crowdsourcing</w:t>
      </w:r>
    </w:p>
    <w:p w14:paraId="45B5C51A" w14:textId="5DDE7546" w:rsidR="00CC781B" w:rsidRPr="0003407D" w:rsidRDefault="00CC781B" w:rsidP="004045E6">
      <w:pPr>
        <w:pStyle w:val="Paragrafoelenco"/>
        <w:numPr>
          <w:ilvl w:val="0"/>
          <w:numId w:val="3"/>
        </w:numPr>
        <w:jc w:val="left"/>
      </w:pPr>
      <w:r w:rsidRPr="0003407D">
        <w:t>Ingaggiare il consumatore in luoghi e momenti inaspettati: street marketing e ambient marketing</w:t>
      </w:r>
    </w:p>
    <w:p w14:paraId="6957603E" w14:textId="08BFC1C4" w:rsidR="00CC781B" w:rsidRPr="00100F26" w:rsidRDefault="000427AB" w:rsidP="004045E6">
      <w:pPr>
        <w:pStyle w:val="Paragrafoelenco"/>
        <w:numPr>
          <w:ilvl w:val="0"/>
          <w:numId w:val="3"/>
        </w:numPr>
        <w:jc w:val="left"/>
        <w:rPr>
          <w:rFonts w:ascii="Calibri" w:hAnsi="Calibri" w:cs="Calibri"/>
          <w:sz w:val="24"/>
          <w:lang w:eastAsia="en-GB"/>
        </w:rPr>
      </w:pPr>
      <w:r>
        <w:t>Portare l’esperienza in store</w:t>
      </w:r>
      <w:r w:rsidR="00CC781B" w:rsidRPr="0003407D">
        <w:t xml:space="preserve">: il punto vendita come </w:t>
      </w:r>
      <w:r w:rsidR="000F005F" w:rsidRPr="0003407D">
        <w:t>strument</w:t>
      </w:r>
      <w:r>
        <w:t>o</w:t>
      </w:r>
      <w:r w:rsidR="000F005F" w:rsidRPr="0003407D">
        <w:t xml:space="preserve"> </w:t>
      </w:r>
      <w:r w:rsidR="00CC781B" w:rsidRPr="0003407D">
        <w:t>di comunicazione</w:t>
      </w:r>
    </w:p>
    <w:p w14:paraId="3FEB6DFB" w14:textId="7E2B98AC" w:rsidR="000427AB" w:rsidRPr="0003407D" w:rsidRDefault="000427AB" w:rsidP="004045E6">
      <w:pPr>
        <w:pStyle w:val="Paragrafoelenco"/>
        <w:numPr>
          <w:ilvl w:val="0"/>
          <w:numId w:val="3"/>
        </w:numPr>
        <w:jc w:val="left"/>
        <w:rPr>
          <w:rFonts w:ascii="Calibri" w:hAnsi="Calibri" w:cs="Calibri"/>
          <w:sz w:val="24"/>
          <w:lang w:eastAsia="en-GB"/>
        </w:rPr>
      </w:pPr>
      <w:r>
        <w:t>Come ampliare l’esperienza di marca: le brand collaboration</w:t>
      </w:r>
    </w:p>
    <w:p w14:paraId="581416A5" w14:textId="3F793D8A" w:rsidR="00CC781B" w:rsidRPr="0003407D" w:rsidRDefault="00CC781B" w:rsidP="004045E6">
      <w:pPr>
        <w:pStyle w:val="Paragrafoelenco"/>
        <w:numPr>
          <w:ilvl w:val="0"/>
          <w:numId w:val="4"/>
        </w:numPr>
        <w:jc w:val="left"/>
      </w:pPr>
      <w:r w:rsidRPr="0003407D">
        <w:t xml:space="preserve">Nuovi trend nella comunicazione di marca: </w:t>
      </w:r>
      <w:r w:rsidR="000F005F">
        <w:t xml:space="preserve">il marketing sensoriale </w:t>
      </w:r>
    </w:p>
    <w:p w14:paraId="4511E50D" w14:textId="77777777" w:rsidR="00CC781B" w:rsidRPr="0003407D" w:rsidRDefault="00CC781B" w:rsidP="004045E6">
      <w:pPr>
        <w:pStyle w:val="Paragrafoelenco"/>
        <w:numPr>
          <w:ilvl w:val="0"/>
          <w:numId w:val="4"/>
        </w:numPr>
        <w:jc w:val="left"/>
      </w:pPr>
      <w:r w:rsidRPr="0003407D">
        <w:t>La tecnologia a supporto dell’esperienza di marca (QR code, Augmented Reality, Virtual Reality)</w:t>
      </w:r>
    </w:p>
    <w:p w14:paraId="4B5D6AE4" w14:textId="4DE2F843" w:rsidR="00CC781B" w:rsidRPr="0003407D" w:rsidRDefault="00CC781B" w:rsidP="004045E6">
      <w:pPr>
        <w:pStyle w:val="Paragrafoelenco"/>
        <w:numPr>
          <w:ilvl w:val="0"/>
          <w:numId w:val="4"/>
        </w:numPr>
        <w:jc w:val="left"/>
      </w:pPr>
      <w:r w:rsidRPr="0003407D">
        <w:t>Gaming, NFT</w:t>
      </w:r>
      <w:r w:rsidR="000F005F">
        <w:t>,</w:t>
      </w:r>
      <w:r w:rsidR="005F6EA5">
        <w:t xml:space="preserve"> </w:t>
      </w:r>
      <w:r w:rsidRPr="0003407D">
        <w:t>metaverso</w:t>
      </w:r>
      <w:r w:rsidR="005F6EA5">
        <w:t>, ChatGPT</w:t>
      </w:r>
      <w:r w:rsidRPr="0003407D">
        <w:t>: i nuovi playground</w:t>
      </w:r>
    </w:p>
    <w:p w14:paraId="5C486560" w14:textId="1616119A" w:rsidR="00CC781B" w:rsidRPr="0003407D" w:rsidRDefault="00950FE4" w:rsidP="004045E6">
      <w:pPr>
        <w:pStyle w:val="Paragrafoelenco"/>
        <w:numPr>
          <w:ilvl w:val="0"/>
          <w:numId w:val="4"/>
        </w:numPr>
      </w:pPr>
      <w:r w:rsidRPr="0003407D">
        <w:lastRenderedPageBreak/>
        <w:t>Il fine ultimo dell’esperienza di marca: ottenere equity, vale a dire valore per la marca</w:t>
      </w:r>
    </w:p>
    <w:p w14:paraId="2ADF0118" w14:textId="77777777" w:rsidR="00E60CA0" w:rsidRPr="00F82642" w:rsidRDefault="00E60CA0" w:rsidP="00C414E0">
      <w:pPr>
        <w:spacing w:before="120"/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t>Parte applicativa</w:t>
      </w:r>
    </w:p>
    <w:p w14:paraId="4839B5DB" w14:textId="57089C23" w:rsidR="00E60CA0" w:rsidRDefault="00E60CA0" w:rsidP="00E60CA0">
      <w:r>
        <w:t xml:space="preserve">Gli studenti saranno </w:t>
      </w:r>
      <w:r w:rsidR="00E60FED">
        <w:t xml:space="preserve">inoltre </w:t>
      </w:r>
      <w:r>
        <w:t xml:space="preserve">coinvolti in un </w:t>
      </w:r>
      <w:r w:rsidRPr="00F82642">
        <w:rPr>
          <w:i/>
        </w:rPr>
        <w:t>project work</w:t>
      </w:r>
      <w:r>
        <w:t xml:space="preserve"> a </w:t>
      </w:r>
      <w:r w:rsidRPr="00F82642">
        <w:rPr>
          <w:i/>
        </w:rPr>
        <w:t>gruppi</w:t>
      </w:r>
      <w:r>
        <w:t xml:space="preserve"> su un caso aziendale reale di comunicazione di marca commissionato e valutato dall’</w:t>
      </w:r>
      <w:r w:rsidR="004A0E95">
        <w:t>azienda</w:t>
      </w:r>
      <w:r>
        <w:t xml:space="preserve"> partner del progetto.</w:t>
      </w:r>
    </w:p>
    <w:p w14:paraId="69027EFA" w14:textId="77777777" w:rsidR="00E60CA0" w:rsidRPr="004C6A9C" w:rsidRDefault="00642B8F" w:rsidP="004C6A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FCE36A8" w14:textId="77777777" w:rsidR="00642B8F" w:rsidRDefault="00642B8F" w:rsidP="004045E6">
      <w:pPr>
        <w:pStyle w:val="Testo1"/>
        <w:spacing w:line="240" w:lineRule="exact"/>
      </w:pPr>
      <w:r>
        <w:t xml:space="preserve">Per studenti </w:t>
      </w:r>
      <w:r w:rsidRPr="00B30D30">
        <w:rPr>
          <w:i/>
        </w:rPr>
        <w:t>frequentanti</w:t>
      </w:r>
    </w:p>
    <w:p w14:paraId="107C7B7C" w14:textId="7EFFFDF2" w:rsidR="00642B8F" w:rsidRDefault="00642B8F" w:rsidP="004045E6">
      <w:pPr>
        <w:pStyle w:val="Testo1"/>
        <w:spacing w:line="240" w:lineRule="exact"/>
      </w:pPr>
      <w:r>
        <w:t>Material</w:t>
      </w:r>
      <w:r w:rsidR="000901A9">
        <w:t>i</w:t>
      </w:r>
      <w:r>
        <w:t xml:space="preserve"> pubblicat</w:t>
      </w:r>
      <w:r w:rsidR="000901A9">
        <w:t>i</w:t>
      </w:r>
      <w:r>
        <w:t xml:space="preserve"> online </w:t>
      </w:r>
      <w:r w:rsidR="000B1F38">
        <w:t>in Blackboard</w:t>
      </w:r>
      <w:r>
        <w:t>.</w:t>
      </w:r>
    </w:p>
    <w:p w14:paraId="425715EA" w14:textId="77777777" w:rsidR="00945F8B" w:rsidRPr="00100F26" w:rsidRDefault="00945F8B" w:rsidP="00945F8B">
      <w:pPr>
        <w:pStyle w:val="Testo1"/>
        <w:spacing w:line="240" w:lineRule="atLeast"/>
        <w:rPr>
          <w:spacing w:val="-5"/>
          <w:lang w:val="en-US"/>
        </w:rPr>
      </w:pPr>
      <w:r w:rsidRPr="00A27C06">
        <w:rPr>
          <w:smallCaps/>
          <w:spacing w:val="-5"/>
          <w:sz w:val="16"/>
          <w:lang w:val="en-US"/>
        </w:rPr>
        <w:t>R.V. Kozinets, U. Gretzel, R. Gambetti,</w:t>
      </w:r>
      <w:r w:rsidRPr="00A27C06">
        <w:rPr>
          <w:i/>
          <w:spacing w:val="-5"/>
          <w:lang w:val="en-US"/>
        </w:rPr>
        <w:t xml:space="preserve"> Influencers and creators.</w:t>
      </w:r>
      <w:r>
        <w:rPr>
          <w:i/>
          <w:spacing w:val="-5"/>
          <w:lang w:val="en-US"/>
        </w:rPr>
        <w:t xml:space="preserve"> </w:t>
      </w:r>
      <w:r w:rsidRPr="00100F26">
        <w:rPr>
          <w:i/>
          <w:spacing w:val="-5"/>
          <w:lang w:val="en-US"/>
        </w:rPr>
        <w:t>Business, culture and practice,</w:t>
      </w:r>
      <w:r w:rsidRPr="00100F26">
        <w:rPr>
          <w:spacing w:val="-5"/>
          <w:lang w:val="en-US"/>
        </w:rPr>
        <w:t xml:space="preserve"> Sage, London, 2023.</w:t>
      </w:r>
    </w:p>
    <w:p w14:paraId="709D0671" w14:textId="77777777" w:rsidR="00945F8B" w:rsidRPr="00100F26" w:rsidRDefault="00945F8B" w:rsidP="004045E6">
      <w:pPr>
        <w:pStyle w:val="Testo1"/>
        <w:spacing w:line="240" w:lineRule="exact"/>
        <w:rPr>
          <w:lang w:val="en-US"/>
        </w:rPr>
      </w:pPr>
    </w:p>
    <w:p w14:paraId="129A083C" w14:textId="18155F8D" w:rsidR="00642B8F" w:rsidRPr="00100F26" w:rsidRDefault="00642B8F" w:rsidP="004045E6">
      <w:pPr>
        <w:pStyle w:val="Testo1"/>
        <w:spacing w:before="120" w:line="240" w:lineRule="exact"/>
        <w:rPr>
          <w:i/>
          <w:lang w:val="en-US"/>
        </w:rPr>
      </w:pPr>
      <w:r w:rsidRPr="00100F26">
        <w:rPr>
          <w:lang w:val="en-US"/>
        </w:rPr>
        <w:t xml:space="preserve">Per studenti </w:t>
      </w:r>
      <w:r w:rsidRPr="00100F26">
        <w:rPr>
          <w:i/>
          <w:lang w:val="en-US"/>
        </w:rPr>
        <w:t>non frequentanti</w:t>
      </w:r>
    </w:p>
    <w:p w14:paraId="06FF6364" w14:textId="6D4278C3" w:rsidR="00723452" w:rsidRPr="00100F26" w:rsidRDefault="00723452" w:rsidP="004045E6">
      <w:pPr>
        <w:pStyle w:val="Testo1"/>
        <w:spacing w:line="240" w:lineRule="exact"/>
        <w:rPr>
          <w:lang w:val="en-US"/>
        </w:rPr>
      </w:pPr>
      <w:r w:rsidRPr="00100F26">
        <w:rPr>
          <w:lang w:val="en-US"/>
        </w:rPr>
        <w:t>Materiali pubblicati online in Blackboard.</w:t>
      </w:r>
    </w:p>
    <w:p w14:paraId="44D68ED1" w14:textId="2CD81144" w:rsidR="009E33EF" w:rsidRPr="00100F26" w:rsidRDefault="00723452" w:rsidP="00100F26">
      <w:pPr>
        <w:pStyle w:val="Testo1"/>
        <w:spacing w:line="240" w:lineRule="exact"/>
        <w:ind w:left="0" w:firstLine="0"/>
        <w:rPr>
          <w:spacing w:val="-5"/>
          <w:lang w:val="en-US"/>
        </w:rPr>
      </w:pPr>
      <w:r w:rsidRPr="00100F26">
        <w:rPr>
          <w:smallCaps/>
          <w:spacing w:val="-5"/>
          <w:sz w:val="16"/>
          <w:lang w:val="en-US"/>
        </w:rPr>
        <w:t xml:space="preserve">R. Fiocca, R.C. Gambetti, C. Solerio, </w:t>
      </w:r>
      <w:r w:rsidRPr="00100F26">
        <w:rPr>
          <w:i/>
          <w:spacing w:val="-5"/>
          <w:lang w:val="en-US"/>
        </w:rPr>
        <w:t>Brand experience</w:t>
      </w:r>
      <w:r w:rsidR="00642B8F" w:rsidRPr="00100F26">
        <w:rPr>
          <w:i/>
          <w:spacing w:val="-5"/>
          <w:lang w:val="en-US"/>
        </w:rPr>
        <w:t>,</w:t>
      </w:r>
      <w:r w:rsidR="00642B8F" w:rsidRPr="00100F26">
        <w:rPr>
          <w:spacing w:val="-5"/>
          <w:lang w:val="en-US"/>
        </w:rPr>
        <w:t xml:space="preserve"> </w:t>
      </w:r>
      <w:r w:rsidR="006A0433" w:rsidRPr="00100F26">
        <w:rPr>
          <w:spacing w:val="-5"/>
          <w:lang w:val="en-US"/>
        </w:rPr>
        <w:t xml:space="preserve">Franco Angeli, Milano, </w:t>
      </w:r>
      <w:r w:rsidRPr="00100F26">
        <w:rPr>
          <w:spacing w:val="-5"/>
          <w:lang w:val="en-US"/>
        </w:rPr>
        <w:t>2016</w:t>
      </w:r>
      <w:r w:rsidR="00642B8F" w:rsidRPr="00100F26">
        <w:rPr>
          <w:spacing w:val="-5"/>
          <w:lang w:val="en-US"/>
        </w:rPr>
        <w:t>.</w:t>
      </w:r>
      <w:r w:rsidR="002F444E">
        <w:rPr>
          <w:spacing w:val="-5"/>
          <w:lang w:val="en-US"/>
        </w:rPr>
        <w:t xml:space="preserve"> </w:t>
      </w:r>
      <w:hyperlink r:id="rId7" w:history="1">
        <w:hyperlink r:id="rId8" w:history="1">
          <w:r w:rsidR="002F444E" w:rsidRPr="002F444E">
            <w:rPr>
              <w:rStyle w:val="Collegamentoipertestuale"/>
              <w:rFonts w:ascii="Times New Roman" w:eastAsia="MS Mincho" w:hAnsi="Times New Roman"/>
              <w:spacing w:val="-5"/>
              <w:szCs w:val="18"/>
            </w:rPr>
            <w:t>Acquista da V&amp;P</w:t>
          </w:r>
        </w:hyperlink>
        <w:bookmarkStart w:id="0" w:name="_GoBack"/>
        <w:bookmarkEnd w:id="0"/>
      </w:hyperlink>
    </w:p>
    <w:p w14:paraId="2B67242C" w14:textId="77777777" w:rsidR="009E33EF" w:rsidRPr="00100F26" w:rsidRDefault="009E33EF" w:rsidP="009E33EF">
      <w:pPr>
        <w:pStyle w:val="Testo1"/>
        <w:spacing w:line="240" w:lineRule="atLeast"/>
        <w:rPr>
          <w:spacing w:val="-5"/>
        </w:rPr>
      </w:pPr>
      <w:r w:rsidRPr="00A27C06">
        <w:rPr>
          <w:smallCaps/>
          <w:spacing w:val="-5"/>
          <w:sz w:val="16"/>
          <w:lang w:val="en-US"/>
        </w:rPr>
        <w:t>R.V. Kozinets, U. Gretzel, R. Gambetti,</w:t>
      </w:r>
      <w:r w:rsidRPr="00A27C06">
        <w:rPr>
          <w:i/>
          <w:spacing w:val="-5"/>
          <w:lang w:val="en-US"/>
        </w:rPr>
        <w:t xml:space="preserve"> Influencers and creators.</w:t>
      </w:r>
      <w:r>
        <w:rPr>
          <w:i/>
          <w:spacing w:val="-5"/>
          <w:lang w:val="en-US"/>
        </w:rPr>
        <w:t xml:space="preserve"> </w:t>
      </w:r>
      <w:r w:rsidRPr="00100F26">
        <w:rPr>
          <w:i/>
          <w:spacing w:val="-5"/>
        </w:rPr>
        <w:t>Business, culture and practice,</w:t>
      </w:r>
      <w:r w:rsidRPr="00100F26">
        <w:rPr>
          <w:spacing w:val="-5"/>
        </w:rPr>
        <w:t xml:space="preserve"> Sage, London, 2023.</w:t>
      </w:r>
    </w:p>
    <w:p w14:paraId="2D7FBBAE" w14:textId="77777777" w:rsidR="009E33EF" w:rsidRPr="00F82642" w:rsidRDefault="009E33EF" w:rsidP="004045E6">
      <w:pPr>
        <w:pStyle w:val="Testo1"/>
        <w:spacing w:line="240" w:lineRule="exact"/>
        <w:rPr>
          <w:spacing w:val="-5"/>
        </w:rPr>
      </w:pPr>
    </w:p>
    <w:p w14:paraId="4C79E875" w14:textId="77777777" w:rsidR="00642B8F" w:rsidRDefault="00642B8F" w:rsidP="004045E6">
      <w:pPr>
        <w:pStyle w:val="Testo1"/>
        <w:spacing w:before="120" w:line="240" w:lineRule="exact"/>
      </w:pPr>
      <w:r>
        <w:t>Letture di approfondimento facoltative consigliate:</w:t>
      </w:r>
    </w:p>
    <w:p w14:paraId="1F22B1EC" w14:textId="62C96818" w:rsidR="0066086B" w:rsidRDefault="00C94693" w:rsidP="004045E6">
      <w:pPr>
        <w:pStyle w:val="Testo1"/>
        <w:spacing w:line="240" w:lineRule="exact"/>
        <w:rPr>
          <w:iCs/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R.V. Kozinets</w:t>
      </w:r>
      <w:r w:rsidR="0066086B" w:rsidRPr="00F82642">
        <w:rPr>
          <w:smallCaps/>
          <w:spacing w:val="-5"/>
          <w:sz w:val="16"/>
          <w:lang w:val="en-US"/>
        </w:rPr>
        <w:t>,</w:t>
      </w:r>
      <w:r w:rsidR="0066086B">
        <w:rPr>
          <w:smallCaps/>
          <w:spacing w:val="-5"/>
          <w:sz w:val="16"/>
          <w:lang w:val="en-US"/>
        </w:rPr>
        <w:t xml:space="preserve"> </w:t>
      </w:r>
      <w:r w:rsidR="0066086B">
        <w:rPr>
          <w:i/>
          <w:spacing w:val="-5"/>
          <w:lang w:val="en-US"/>
        </w:rPr>
        <w:t>Netnography 3E. The essential guide to qualitative social media research</w:t>
      </w:r>
      <w:r>
        <w:rPr>
          <w:i/>
          <w:spacing w:val="-5"/>
          <w:lang w:val="en-US"/>
        </w:rPr>
        <w:t xml:space="preserve">, </w:t>
      </w:r>
      <w:r w:rsidRPr="00C94693">
        <w:rPr>
          <w:iCs/>
          <w:spacing w:val="-5"/>
          <w:lang w:val="en-US"/>
        </w:rPr>
        <w:t>Sage, Thousand Oaks (CA), 2020.</w:t>
      </w:r>
    </w:p>
    <w:p w14:paraId="63AB3FCD" w14:textId="53328A61" w:rsidR="00723452" w:rsidRPr="00C0011B" w:rsidRDefault="00723452" w:rsidP="004045E6">
      <w:pPr>
        <w:pStyle w:val="Testo1"/>
        <w:spacing w:line="240" w:lineRule="exact"/>
        <w:rPr>
          <w:iCs/>
          <w:spacing w:val="-5"/>
          <w:lang w:val="en-US"/>
        </w:rPr>
      </w:pPr>
      <w:r w:rsidRPr="00723452">
        <w:rPr>
          <w:smallCaps/>
          <w:spacing w:val="-5"/>
          <w:sz w:val="16"/>
          <w:lang w:val="en-US"/>
        </w:rPr>
        <w:t xml:space="preserve">O. Yallop, </w:t>
      </w:r>
      <w:r w:rsidRPr="00723452">
        <w:rPr>
          <w:i/>
          <w:spacing w:val="-5"/>
          <w:lang w:val="en-US"/>
        </w:rPr>
        <w:t>Break the i</w:t>
      </w:r>
      <w:r>
        <w:rPr>
          <w:i/>
          <w:spacing w:val="-5"/>
          <w:lang w:val="en-US"/>
        </w:rPr>
        <w:t>nternet</w:t>
      </w:r>
      <w:r w:rsidR="00C0011B">
        <w:rPr>
          <w:i/>
          <w:spacing w:val="-5"/>
          <w:lang w:val="en-US"/>
        </w:rPr>
        <w:t xml:space="preserve">, </w:t>
      </w:r>
      <w:r w:rsidR="00C0011B" w:rsidRPr="00C0011B">
        <w:rPr>
          <w:iCs/>
          <w:spacing w:val="-5"/>
          <w:lang w:val="en-US"/>
        </w:rPr>
        <w:t>Scribe Publications, London, 2021.</w:t>
      </w:r>
    </w:p>
    <w:p w14:paraId="1BF0E0AB" w14:textId="77777777" w:rsidR="00642B8F" w:rsidRPr="00642B8F" w:rsidRDefault="00642B8F" w:rsidP="00642B8F">
      <w:pPr>
        <w:spacing w:before="240" w:after="120" w:line="220" w:lineRule="exact"/>
        <w:rPr>
          <w:b/>
          <w:i/>
          <w:sz w:val="18"/>
        </w:rPr>
      </w:pPr>
      <w:r w:rsidRPr="00642B8F">
        <w:rPr>
          <w:b/>
          <w:i/>
          <w:sz w:val="18"/>
        </w:rPr>
        <w:t>DIDATTICA DEL CORSO</w:t>
      </w:r>
    </w:p>
    <w:p w14:paraId="02E7C788" w14:textId="0C959C39" w:rsidR="00642B8F" w:rsidRDefault="00642B8F" w:rsidP="004045E6">
      <w:pPr>
        <w:pStyle w:val="Testo2"/>
        <w:spacing w:line="240" w:lineRule="exact"/>
      </w:pPr>
      <w:r w:rsidRPr="00F82642">
        <w:t xml:space="preserve">Lezioni interattive, </w:t>
      </w:r>
      <w:r w:rsidR="000B1F38">
        <w:t xml:space="preserve">guest lecture </w:t>
      </w:r>
      <w:r w:rsidRPr="00F82642">
        <w:t xml:space="preserve">tenuti da </w:t>
      </w:r>
      <w:r w:rsidR="00723452">
        <w:t>professionisti esterni</w:t>
      </w:r>
      <w:r w:rsidRPr="00F82642">
        <w:t>, lavori di gruppo</w:t>
      </w:r>
      <w:r w:rsidR="000B1F38">
        <w:t xml:space="preserve"> </w:t>
      </w:r>
      <w:r w:rsidR="00723452">
        <w:t>su</w:t>
      </w:r>
      <w:r w:rsidR="000B1F38">
        <w:t xml:space="preserve"> project work aziendali</w:t>
      </w:r>
      <w:r w:rsidRPr="00F82642">
        <w:t>.</w:t>
      </w:r>
    </w:p>
    <w:p w14:paraId="10DE63DB" w14:textId="04A089E8" w:rsidR="00642B8F" w:rsidRDefault="00642B8F" w:rsidP="6CC3FA7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6CC3FA76">
        <w:rPr>
          <w:b/>
          <w:bCs/>
          <w:i/>
          <w:iCs/>
          <w:sz w:val="18"/>
          <w:szCs w:val="18"/>
        </w:rPr>
        <w:t xml:space="preserve">METODO </w:t>
      </w:r>
      <w:r w:rsidR="00687DC7" w:rsidRPr="6CC3FA76">
        <w:rPr>
          <w:b/>
          <w:bCs/>
          <w:i/>
          <w:iCs/>
          <w:sz w:val="18"/>
          <w:szCs w:val="18"/>
        </w:rPr>
        <w:t xml:space="preserve">E CRITERI </w:t>
      </w:r>
      <w:r w:rsidRPr="6CC3FA76">
        <w:rPr>
          <w:b/>
          <w:bCs/>
          <w:i/>
          <w:iCs/>
          <w:sz w:val="18"/>
          <w:szCs w:val="18"/>
        </w:rPr>
        <w:t>DI VALUTAZIONE</w:t>
      </w:r>
    </w:p>
    <w:p w14:paraId="72F47097" w14:textId="39107EA3" w:rsidR="007717D7" w:rsidRDefault="00642B8F" w:rsidP="004045E6">
      <w:pPr>
        <w:pStyle w:val="Testo2"/>
        <w:spacing w:line="240" w:lineRule="exact"/>
      </w:pPr>
      <w:r w:rsidRPr="00061426">
        <w:t xml:space="preserve">Il corso prevede </w:t>
      </w:r>
      <w:r>
        <w:t>un esame scritto finale individuale</w:t>
      </w:r>
      <w:r w:rsidR="00723452">
        <w:t xml:space="preserve"> </w:t>
      </w:r>
      <w:r>
        <w:t xml:space="preserve">e un project work </w:t>
      </w:r>
      <w:r w:rsidR="007717D7">
        <w:t xml:space="preserve">aziendale </w:t>
      </w:r>
      <w:r>
        <w:t xml:space="preserve">a gruppi. </w:t>
      </w:r>
    </w:p>
    <w:p w14:paraId="2B340118" w14:textId="5EEECAFC" w:rsidR="00DD501A" w:rsidRDefault="00642B8F" w:rsidP="004045E6">
      <w:pPr>
        <w:pStyle w:val="Testo2"/>
        <w:spacing w:line="240" w:lineRule="exact"/>
      </w:pPr>
      <w:r>
        <w:t>L’</w:t>
      </w:r>
      <w:r w:rsidRPr="00606BF8">
        <w:rPr>
          <w:i/>
          <w:iCs/>
        </w:rPr>
        <w:t xml:space="preserve">esame scritto </w:t>
      </w:r>
      <w:r>
        <w:t xml:space="preserve">consiste in due domande aperte di carattere teorico-applicativo inerenti le spiegazioni fornite in aula, il materiale reso disponibile sulla pagina web docente e il materiale bibliografico indicato per lo studio. L’esame scritto pesa il </w:t>
      </w:r>
      <w:r w:rsidR="00723452">
        <w:t>70</w:t>
      </w:r>
      <w:r>
        <w:t xml:space="preserve">% del voto finale. </w:t>
      </w:r>
      <w:r w:rsidR="00DD501A">
        <w:t xml:space="preserve">Ai fini della valutazione dell’esame scritto concorreranno la pertinenza delle risposte, l’uso appropriato della terminologia specifica, la strutturazione argomentata e coerente del discorso, la capacità di individuare nessi concettuali tra i contenuti e la dimostrazione della capacità di applicare i concetti appresi ai molteplici esempi trattati in aula. Entrambe le domande aperte verranno </w:t>
      </w:r>
      <w:r w:rsidR="00DD501A">
        <w:lastRenderedPageBreak/>
        <w:t xml:space="preserve">valutate con un punteggio in trentesimi e faranno media al 50% rispetto al voto finale dello scritto. </w:t>
      </w:r>
    </w:p>
    <w:p w14:paraId="3EA98BEC" w14:textId="0AF48F0E" w:rsidR="00642B8F" w:rsidRDefault="00642B8F" w:rsidP="004045E6">
      <w:pPr>
        <w:pStyle w:val="Testo2"/>
        <w:spacing w:line="240" w:lineRule="exact"/>
      </w:pPr>
      <w:r>
        <w:t xml:space="preserve">Il </w:t>
      </w:r>
      <w:r w:rsidRPr="007717D7">
        <w:rPr>
          <w:i/>
          <w:iCs/>
        </w:rPr>
        <w:t>project work a gruppi</w:t>
      </w:r>
      <w:r>
        <w:t xml:space="preserve"> prevede </w:t>
      </w:r>
      <w:r w:rsidR="0003407D">
        <w:t xml:space="preserve">in genere </w:t>
      </w:r>
      <w:r>
        <w:t>la progettazione di un activation plan di comunicazione di marca su indicazione dell’</w:t>
      </w:r>
      <w:r w:rsidR="006A0433">
        <w:t>azienda</w:t>
      </w:r>
      <w:r>
        <w:t xml:space="preserve"> partner e pesa il </w:t>
      </w:r>
      <w:r w:rsidR="00723452">
        <w:t>3</w:t>
      </w:r>
      <w:r>
        <w:t>0% del voto finale.</w:t>
      </w:r>
      <w:r w:rsidR="00DD501A">
        <w:t xml:space="preserve"> Ai fini della valutazione del project work aziendale concorreranno l’aderenza rispetto alle richieste del brief, la varietà e la profondità della proposta, l’originalità e l’applicabilità delle idee proposte. I quattro fattori verranno valutati in trentesimi e avranno ciascuno un peso percentuale pari al 25% del voto finale del project work.</w:t>
      </w:r>
    </w:p>
    <w:p w14:paraId="0969B288" w14:textId="4B01E7B5" w:rsidR="00642B8F" w:rsidRDefault="00642B8F" w:rsidP="004045E6">
      <w:pPr>
        <w:pStyle w:val="Testo2"/>
        <w:spacing w:line="240" w:lineRule="exact"/>
      </w:pPr>
      <w:r w:rsidRPr="00061426">
        <w:t xml:space="preserve">Per gli </w:t>
      </w:r>
      <w:r w:rsidRPr="00061426">
        <w:rPr>
          <w:i/>
          <w:iCs/>
        </w:rPr>
        <w:t xml:space="preserve">studenti </w:t>
      </w:r>
      <w:r w:rsidR="00061426">
        <w:rPr>
          <w:i/>
          <w:iCs/>
        </w:rPr>
        <w:t>che non prenderanno parte al project work aziendale a gruppi,</w:t>
      </w:r>
      <w:r>
        <w:t xml:space="preserve"> il corso prevede un esame scritto finale individuale, costituito da tre domande di carattere teorico-applicativo inerenti il materiale bibliografico indicato per lo studio.</w:t>
      </w:r>
      <w:r w:rsidR="00DD501A">
        <w:t xml:space="preserve"> Ai fini della valutazione dell’esame scritto concorreranno la pertinenza delle risposte, l’uso appropriato della terminologia specifica, la strutturazione argomentata e coerente del discorso e la capacità di individuare nessi concettuali tra i contenuti.</w:t>
      </w:r>
    </w:p>
    <w:p w14:paraId="36F2BE0F" w14:textId="0014C6AF" w:rsidR="00642B8F" w:rsidRDefault="00642B8F" w:rsidP="00642B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E77DC">
        <w:rPr>
          <w:b/>
          <w:i/>
          <w:sz w:val="18"/>
        </w:rPr>
        <w:t xml:space="preserve"> E PREREQUISITI</w:t>
      </w:r>
    </w:p>
    <w:p w14:paraId="24101E04" w14:textId="77777777" w:rsidR="00B8073F" w:rsidRDefault="002E77DC" w:rsidP="004045E6">
      <w:pPr>
        <w:pStyle w:val="Testo2"/>
        <w:spacing w:line="240" w:lineRule="exact"/>
      </w:pPr>
      <w:r>
        <w:t xml:space="preserve">Ai fini di una proficua frequenza del corso, sarebbe auspicabile </w:t>
      </w:r>
      <w:r w:rsidR="00B8073F">
        <w:t xml:space="preserve">per gli studenti possedere conoscenze di base di marketing. </w:t>
      </w:r>
    </w:p>
    <w:p w14:paraId="19721733" w14:textId="6E8B8E9A" w:rsidR="00642B8F" w:rsidRDefault="00642B8F" w:rsidP="004045E6">
      <w:pPr>
        <w:pStyle w:val="Testo2"/>
        <w:spacing w:line="240" w:lineRule="exact"/>
      </w:pPr>
      <w:r>
        <w:t xml:space="preserve">Gli studenti interessati ad una tesi in </w:t>
      </w:r>
      <w:r w:rsidR="00723452">
        <w:t>Branding e comunicazione internazionale</w:t>
      </w:r>
      <w:r>
        <w:t xml:space="preserve"> sono invitati a consultare periodicamente la bacheca virtuale della pagina web </w:t>
      </w:r>
      <w:r w:rsidR="00723452">
        <w:t>delle docenti</w:t>
      </w:r>
      <w:r>
        <w:t xml:space="preserve"> all’interno del sito dell’Ateneo per prendere visione delle date degli incontri con i candidati tesisti.</w:t>
      </w:r>
    </w:p>
    <w:p w14:paraId="48F0B986" w14:textId="3757290B" w:rsidR="00642B8F" w:rsidRPr="00F82642" w:rsidRDefault="00642B8F" w:rsidP="004045E6">
      <w:pPr>
        <w:pStyle w:val="Testo2"/>
        <w:spacing w:before="120" w:line="240" w:lineRule="exact"/>
        <w:rPr>
          <w:i/>
        </w:rPr>
      </w:pPr>
      <w:r w:rsidRPr="00F82642">
        <w:rPr>
          <w:i/>
        </w:rPr>
        <w:t>Orario e luogo di ricevimento</w:t>
      </w:r>
      <w:r w:rsidR="004045E6">
        <w:rPr>
          <w:i/>
        </w:rPr>
        <w:t xml:space="preserve"> degli studenti</w:t>
      </w:r>
    </w:p>
    <w:p w14:paraId="560A13C8" w14:textId="672330CC" w:rsidR="00642B8F" w:rsidRDefault="00642B8F" w:rsidP="48023743">
      <w:pPr>
        <w:pStyle w:val="Testo2"/>
        <w:spacing w:line="240" w:lineRule="exact"/>
      </w:pPr>
      <w:r>
        <w:t xml:space="preserve">Il Prof. Rossella Chiara Gambetti riceve gli studenti </w:t>
      </w:r>
      <w:r w:rsidR="0003407D">
        <w:t>previo</w:t>
      </w:r>
      <w:r>
        <w:t xml:space="preserve"> appuntamento </w:t>
      </w:r>
      <w:r w:rsidR="0003407D">
        <w:t xml:space="preserve">concordato </w:t>
      </w:r>
      <w:r>
        <w:t>per e-mail</w:t>
      </w:r>
      <w:r w:rsidR="6173D4E7">
        <w:t xml:space="preserve">: </w:t>
      </w:r>
      <w:hyperlink r:id="rId9">
        <w:r w:rsidR="6173D4E7" w:rsidRPr="48023743">
          <w:rPr>
            <w:rStyle w:val="Collegamentoipertestuale"/>
            <w:rFonts w:ascii="Calibri" w:eastAsia="Calibri" w:hAnsi="Calibri" w:cs="Calibri"/>
            <w:sz w:val="22"/>
            <w:szCs w:val="22"/>
          </w:rPr>
          <w:t>rossella.gambetti@unicatt.it</w:t>
        </w:r>
      </w:hyperlink>
      <w:r w:rsidR="6173D4E7" w:rsidRPr="480237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DA2BD4F" w14:textId="6D66F728" w:rsidR="00950FE4" w:rsidRPr="00054330" w:rsidRDefault="00723452" w:rsidP="004045E6">
      <w:pPr>
        <w:ind w:left="284"/>
        <w:rPr>
          <w:rFonts w:ascii="Times" w:eastAsia="Times New Roman" w:hAnsi="Times"/>
          <w:noProof/>
          <w:sz w:val="18"/>
          <w:szCs w:val="20"/>
        </w:rPr>
      </w:pPr>
      <w:r w:rsidRPr="00054330">
        <w:rPr>
          <w:rFonts w:ascii="Times" w:eastAsia="Times New Roman" w:hAnsi="Times"/>
          <w:noProof/>
          <w:sz w:val="18"/>
          <w:szCs w:val="20"/>
        </w:rPr>
        <w:t>Il Prof. Stefania Boleso</w:t>
      </w:r>
      <w:r w:rsidR="00950FE4" w:rsidRPr="00054330">
        <w:rPr>
          <w:rFonts w:ascii="Times" w:eastAsia="Times New Roman" w:hAnsi="Times"/>
          <w:noProof/>
          <w:sz w:val="18"/>
          <w:szCs w:val="20"/>
        </w:rPr>
        <w:t xml:space="preserve"> riceve gli studenti </w:t>
      </w:r>
      <w:r w:rsidR="00054330" w:rsidRPr="00054330">
        <w:rPr>
          <w:rFonts w:ascii="Times" w:eastAsia="Times New Roman" w:hAnsi="Times"/>
          <w:noProof/>
          <w:sz w:val="18"/>
          <w:szCs w:val="20"/>
        </w:rPr>
        <w:t xml:space="preserve">previo appuntamento da </w:t>
      </w:r>
      <w:r w:rsidR="00950FE4" w:rsidRPr="00054330">
        <w:rPr>
          <w:rFonts w:ascii="Times" w:eastAsia="Times New Roman" w:hAnsi="Times"/>
          <w:noProof/>
          <w:sz w:val="18"/>
          <w:szCs w:val="20"/>
        </w:rPr>
        <w:t xml:space="preserve">concordarsi via mail, scrivendo a </w:t>
      </w:r>
      <w:r w:rsidR="00F379D0">
        <w:t>stefania.boleso@unicatt.it</w:t>
      </w:r>
    </w:p>
    <w:p w14:paraId="0F412F5C" w14:textId="37452F34" w:rsidR="00723452" w:rsidRPr="00642B8F" w:rsidRDefault="00723452" w:rsidP="00642B8F">
      <w:pPr>
        <w:pStyle w:val="Testo2"/>
      </w:pPr>
    </w:p>
    <w:sectPr w:rsidR="00723452" w:rsidRPr="00642B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6D9E" w14:textId="77777777" w:rsidR="00F22A87" w:rsidRDefault="00F22A87" w:rsidP="006A0433">
      <w:pPr>
        <w:spacing w:line="240" w:lineRule="auto"/>
      </w:pPr>
      <w:r>
        <w:separator/>
      </w:r>
    </w:p>
  </w:endnote>
  <w:endnote w:type="continuationSeparator" w:id="0">
    <w:p w14:paraId="51D3F944" w14:textId="77777777" w:rsidR="00F22A87" w:rsidRDefault="00F22A87" w:rsidP="006A0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2325E" w14:textId="77777777" w:rsidR="00F22A87" w:rsidRDefault="00F22A87" w:rsidP="006A0433">
      <w:pPr>
        <w:spacing w:line="240" w:lineRule="auto"/>
      </w:pPr>
      <w:r>
        <w:separator/>
      </w:r>
    </w:p>
  </w:footnote>
  <w:footnote w:type="continuationSeparator" w:id="0">
    <w:p w14:paraId="64659FD7" w14:textId="77777777" w:rsidR="00F22A87" w:rsidRDefault="00F22A87" w:rsidP="006A0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2A0"/>
    <w:multiLevelType w:val="hybridMultilevel"/>
    <w:tmpl w:val="46045A44"/>
    <w:lvl w:ilvl="0" w:tplc="FF423B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2F98"/>
    <w:multiLevelType w:val="hybridMultilevel"/>
    <w:tmpl w:val="C93A52FA"/>
    <w:lvl w:ilvl="0" w:tplc="32C8895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164B5"/>
    <w:multiLevelType w:val="hybridMultilevel"/>
    <w:tmpl w:val="92868FE2"/>
    <w:lvl w:ilvl="0" w:tplc="FF423B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7779"/>
    <w:multiLevelType w:val="hybridMultilevel"/>
    <w:tmpl w:val="60C4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12947"/>
    <w:multiLevelType w:val="hybridMultilevel"/>
    <w:tmpl w:val="03AE9E3A"/>
    <w:lvl w:ilvl="0" w:tplc="8398C5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EC"/>
    <w:rsid w:val="000256A6"/>
    <w:rsid w:val="0003407D"/>
    <w:rsid w:val="000427AB"/>
    <w:rsid w:val="00054330"/>
    <w:rsid w:val="0006111A"/>
    <w:rsid w:val="00061426"/>
    <w:rsid w:val="000901A9"/>
    <w:rsid w:val="000941A2"/>
    <w:rsid w:val="000A4B72"/>
    <w:rsid w:val="000B1F38"/>
    <w:rsid w:val="000B62D3"/>
    <w:rsid w:val="000F005F"/>
    <w:rsid w:val="00100F26"/>
    <w:rsid w:val="001141C6"/>
    <w:rsid w:val="00173832"/>
    <w:rsid w:val="001E49CC"/>
    <w:rsid w:val="002641D0"/>
    <w:rsid w:val="002C5707"/>
    <w:rsid w:val="002E77DC"/>
    <w:rsid w:val="002F18D8"/>
    <w:rsid w:val="002F444E"/>
    <w:rsid w:val="00305DB8"/>
    <w:rsid w:val="00336388"/>
    <w:rsid w:val="00355E17"/>
    <w:rsid w:val="003A15C9"/>
    <w:rsid w:val="004045E6"/>
    <w:rsid w:val="004233BF"/>
    <w:rsid w:val="0042624F"/>
    <w:rsid w:val="0042793E"/>
    <w:rsid w:val="0049454F"/>
    <w:rsid w:val="004A0E95"/>
    <w:rsid w:val="004C6A9C"/>
    <w:rsid w:val="004D1217"/>
    <w:rsid w:val="004D35EF"/>
    <w:rsid w:val="004D6008"/>
    <w:rsid w:val="00524E26"/>
    <w:rsid w:val="0056196B"/>
    <w:rsid w:val="005D28BF"/>
    <w:rsid w:val="005F6EA5"/>
    <w:rsid w:val="00606BF8"/>
    <w:rsid w:val="00622A58"/>
    <w:rsid w:val="00642B8F"/>
    <w:rsid w:val="00653D38"/>
    <w:rsid w:val="0066086B"/>
    <w:rsid w:val="00665ECF"/>
    <w:rsid w:val="006661EC"/>
    <w:rsid w:val="00674D56"/>
    <w:rsid w:val="00687DC7"/>
    <w:rsid w:val="006A0433"/>
    <w:rsid w:val="006B001D"/>
    <w:rsid w:val="006C277B"/>
    <w:rsid w:val="006F1772"/>
    <w:rsid w:val="0070141A"/>
    <w:rsid w:val="00717F90"/>
    <w:rsid w:val="00723452"/>
    <w:rsid w:val="007524C4"/>
    <w:rsid w:val="007717D7"/>
    <w:rsid w:val="007723B8"/>
    <w:rsid w:val="00777D12"/>
    <w:rsid w:val="007E235B"/>
    <w:rsid w:val="007F625A"/>
    <w:rsid w:val="0081383F"/>
    <w:rsid w:val="00813AF9"/>
    <w:rsid w:val="0087417D"/>
    <w:rsid w:val="008C20C6"/>
    <w:rsid w:val="00940DA2"/>
    <w:rsid w:val="00945F8B"/>
    <w:rsid w:val="0094796D"/>
    <w:rsid w:val="00950FE4"/>
    <w:rsid w:val="009A563A"/>
    <w:rsid w:val="009E33EF"/>
    <w:rsid w:val="00A52DD6"/>
    <w:rsid w:val="00A94D62"/>
    <w:rsid w:val="00AA50E2"/>
    <w:rsid w:val="00B30D30"/>
    <w:rsid w:val="00B33C21"/>
    <w:rsid w:val="00B40627"/>
    <w:rsid w:val="00B56A46"/>
    <w:rsid w:val="00B74C44"/>
    <w:rsid w:val="00B777F9"/>
    <w:rsid w:val="00B8073F"/>
    <w:rsid w:val="00BD3236"/>
    <w:rsid w:val="00C0011B"/>
    <w:rsid w:val="00C4047B"/>
    <w:rsid w:val="00C414E0"/>
    <w:rsid w:val="00C74177"/>
    <w:rsid w:val="00C94693"/>
    <w:rsid w:val="00C96F9E"/>
    <w:rsid w:val="00CA7EB0"/>
    <w:rsid w:val="00CC781B"/>
    <w:rsid w:val="00CD0DFE"/>
    <w:rsid w:val="00CD46B7"/>
    <w:rsid w:val="00CE75B7"/>
    <w:rsid w:val="00D07CD0"/>
    <w:rsid w:val="00D46358"/>
    <w:rsid w:val="00D51DE6"/>
    <w:rsid w:val="00D87999"/>
    <w:rsid w:val="00D94523"/>
    <w:rsid w:val="00DC4F1A"/>
    <w:rsid w:val="00DC6315"/>
    <w:rsid w:val="00DD3297"/>
    <w:rsid w:val="00DD501A"/>
    <w:rsid w:val="00DF0A0A"/>
    <w:rsid w:val="00DF35BD"/>
    <w:rsid w:val="00E21E4A"/>
    <w:rsid w:val="00E42E0C"/>
    <w:rsid w:val="00E60CA0"/>
    <w:rsid w:val="00E60FED"/>
    <w:rsid w:val="00E902F1"/>
    <w:rsid w:val="00EF70B4"/>
    <w:rsid w:val="00F22A87"/>
    <w:rsid w:val="00F379D0"/>
    <w:rsid w:val="00FA6AFD"/>
    <w:rsid w:val="1439B97E"/>
    <w:rsid w:val="254D3A4C"/>
    <w:rsid w:val="48023743"/>
    <w:rsid w:val="6173D4E7"/>
    <w:rsid w:val="6CC3F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13C5"/>
  <w15:docId w15:val="{2FEB17DA-154D-4F1E-A356-400AE2F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CA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CA0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B77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77F9"/>
    <w:rPr>
      <w:rFonts w:ascii="Tahoma" w:eastAsia="MS Mincho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43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0433"/>
    <w:rPr>
      <w:rFonts w:eastAsia="MS Mincho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B62D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CC781B"/>
    <w:rPr>
      <w:rFonts w:eastAsia="MS Mincho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0FE4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0F005F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o-fiocca-chiara-solerio-rossella-chiara-gambetti/brand-experience-relazioni-impresa-cliente-e-valore-di-marca-9788891728920-2333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alvatore-patriarca/il-digitale-quotidiano-cosi-si-trasforma-lessere-umano-9788832823561-5502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sella.gambet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4</Pages>
  <Words>1192</Words>
  <Characters>7813</Characters>
  <Application>Microsoft Office Word</Application>
  <DocSecurity>0</DocSecurity>
  <Lines>65</Lines>
  <Paragraphs>17</Paragraphs>
  <ScaleCrop>false</ScaleCrop>
  <Company>U.C.S.C. MILANO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5</cp:revision>
  <cp:lastPrinted>2016-05-31T11:23:00Z</cp:lastPrinted>
  <dcterms:created xsi:type="dcterms:W3CDTF">2023-05-08T10:22:00Z</dcterms:created>
  <dcterms:modified xsi:type="dcterms:W3CDTF">2024-02-01T10:14:00Z</dcterms:modified>
</cp:coreProperties>
</file>