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7299" w14:textId="77777777" w:rsidR="00240625" w:rsidRPr="00AD3D46" w:rsidRDefault="00B16E34">
      <w:pPr>
        <w:pStyle w:val="Titolo1"/>
        <w:tabs>
          <w:tab w:val="left" w:pos="2128"/>
        </w:tabs>
        <w:ind w:left="0" w:firstLine="0"/>
        <w:rPr>
          <w:lang w:val="en-GB"/>
        </w:rPr>
      </w:pPr>
      <w:r w:rsidRPr="00AD3D46">
        <w:rPr>
          <w:lang w:val="en-GB"/>
        </w:rPr>
        <w:t>Social History</w:t>
      </w:r>
      <w:r w:rsidRPr="00AD3D46">
        <w:rPr>
          <w:lang w:val="en-GB"/>
        </w:rPr>
        <w:tab/>
      </w:r>
    </w:p>
    <w:p w14:paraId="660936AA" w14:textId="77777777" w:rsidR="00240625" w:rsidRPr="00AD3D46" w:rsidRDefault="00B16E34">
      <w:pPr>
        <w:pStyle w:val="Titolo2"/>
        <w:rPr>
          <w:lang w:val="en-GB"/>
        </w:rPr>
      </w:pPr>
      <w:r w:rsidRPr="00AD3D46">
        <w:rPr>
          <w:lang w:val="en-GB"/>
        </w:rPr>
        <w:t>Prof. Elena Riva; Prof. Enrico Berbenni</w:t>
      </w:r>
    </w:p>
    <w:p w14:paraId="0A8304DB" w14:textId="77777777" w:rsidR="00240625" w:rsidRPr="00AD3D46" w:rsidRDefault="00B16E34">
      <w:pPr>
        <w:pStyle w:val="P68B1DB1-Normale1"/>
        <w:spacing w:before="240" w:after="120"/>
        <w:rPr>
          <w:lang w:val="en-GB"/>
        </w:rPr>
      </w:pPr>
      <w:r w:rsidRPr="00AD3D46">
        <w:rPr>
          <w:lang w:val="en-GB"/>
        </w:rPr>
        <w:t>COURSE AIMS AND INTENDED LEARNING OUTCOMES</w:t>
      </w:r>
    </w:p>
    <w:p w14:paraId="5F5E0B04" w14:textId="77777777" w:rsidR="00240625" w:rsidRPr="00AD3D46" w:rsidRDefault="00B16E34">
      <w:pPr>
        <w:pStyle w:val="P68B1DB1-Normale2"/>
        <w:rPr>
          <w:lang w:val="en-GB"/>
        </w:rPr>
      </w:pPr>
      <w:r w:rsidRPr="00AD3D46">
        <w:rPr>
          <w:lang w:val="en-GB"/>
        </w:rPr>
        <w:t xml:space="preserve">The course aims to address European social history between the ancient regime and the </w:t>
      </w:r>
      <w:r w:rsidRPr="00AD3D46">
        <w:rPr>
          <w:lang w:val="en-GB"/>
        </w:rPr>
        <w:t>contemporary age, with particular attention to the development of welfare and social assistance practices in the economic and social context that produced them.</w:t>
      </w:r>
    </w:p>
    <w:p w14:paraId="35D980E7" w14:textId="77777777" w:rsidR="00240625" w:rsidRPr="00AD3D46" w:rsidRDefault="00B16E34">
      <w:pPr>
        <w:pStyle w:val="P68B1DB1-Normale2"/>
        <w:rPr>
          <w:lang w:val="en-GB"/>
        </w:rPr>
      </w:pPr>
      <w:r w:rsidRPr="00AD3D46">
        <w:rPr>
          <w:lang w:val="en-GB"/>
        </w:rPr>
        <w:t>More specifically, students will be encouraged to read these topics through the interpretative key of citizenship.</w:t>
      </w:r>
    </w:p>
    <w:p w14:paraId="7432FFB2" w14:textId="77777777" w:rsidR="00240625" w:rsidRPr="00AD3D46" w:rsidRDefault="00B16E34">
      <w:pPr>
        <w:rPr>
          <w:lang w:val="en-GB"/>
        </w:rPr>
      </w:pPr>
      <w:r w:rsidRPr="00AD3D46">
        <w:rPr>
          <w:lang w:val="en-GB"/>
        </w:rPr>
        <w:t>Specifically, the course aims to:</w:t>
      </w:r>
    </w:p>
    <w:p w14:paraId="63885170" w14:textId="58FC45D8" w:rsidR="00240625" w:rsidRPr="00AD3D46" w:rsidRDefault="00B16E34">
      <w:pPr>
        <w:pStyle w:val="Paragrafoelenco"/>
        <w:numPr>
          <w:ilvl w:val="0"/>
          <w:numId w:val="9"/>
        </w:numPr>
        <w:ind w:left="284" w:hanging="284"/>
        <w:jc w:val="both"/>
        <w:rPr>
          <w:lang w:val="en-GB"/>
        </w:rPr>
      </w:pPr>
      <w:r w:rsidRPr="00AD3D46">
        <w:rPr>
          <w:lang w:val="en-GB"/>
        </w:rPr>
        <w:t>frame the socio-economic context within which welfare and assistance evolved, highlighting the points of continuity and rupture between the modern and contemporary age</w:t>
      </w:r>
      <w:r w:rsidR="00AD3D46">
        <w:rPr>
          <w:lang w:val="en-GB"/>
        </w:rPr>
        <w:t>;</w:t>
      </w:r>
    </w:p>
    <w:p w14:paraId="7FA9269A" w14:textId="77777777" w:rsidR="00240625" w:rsidRPr="00AD3D46" w:rsidRDefault="00B16E34">
      <w:pPr>
        <w:pStyle w:val="Paragrafoelenco"/>
        <w:numPr>
          <w:ilvl w:val="0"/>
          <w:numId w:val="9"/>
        </w:numPr>
        <w:ind w:left="284" w:hanging="284"/>
        <w:jc w:val="both"/>
        <w:rPr>
          <w:lang w:val="en-GB"/>
        </w:rPr>
      </w:pPr>
      <w:r w:rsidRPr="00AD3D46">
        <w:rPr>
          <w:lang w:val="en-GB"/>
        </w:rPr>
        <w:t>teach students the ways in which welfare and social assistance topics are historically affirmed, focusing attention on the disciplinary lexicon, sources and general problems of historiographic interpretation;</w:t>
      </w:r>
    </w:p>
    <w:p w14:paraId="173AD7E3" w14:textId="77777777" w:rsidR="00240625" w:rsidRPr="00AD3D46" w:rsidRDefault="00B16E34">
      <w:pPr>
        <w:pStyle w:val="Paragrafoelenco"/>
        <w:numPr>
          <w:ilvl w:val="0"/>
          <w:numId w:val="9"/>
        </w:numPr>
        <w:ind w:left="284" w:hanging="284"/>
        <w:jc w:val="both"/>
        <w:rPr>
          <w:lang w:val="en-GB"/>
        </w:rPr>
      </w:pPr>
      <w:r w:rsidRPr="00AD3D46">
        <w:rPr>
          <w:lang w:val="en-GB"/>
        </w:rPr>
        <w:t>develop a critical approach to the study of the discipline, attentive to causal links and long-term relationships between past and present.</w:t>
      </w:r>
    </w:p>
    <w:p w14:paraId="4778CF58" w14:textId="77777777" w:rsidR="00240625" w:rsidRPr="00AD3D46" w:rsidRDefault="00B16E34">
      <w:pPr>
        <w:rPr>
          <w:lang w:val="en-GB"/>
        </w:rPr>
      </w:pPr>
      <w:r w:rsidRPr="00AD3D46">
        <w:rPr>
          <w:lang w:val="en-GB"/>
        </w:rPr>
        <w:t>At the end of the course, students will be able to:</w:t>
      </w:r>
    </w:p>
    <w:p w14:paraId="00B73F6F" w14:textId="57F2C3A1" w:rsidR="00240625" w:rsidRPr="00AD3D46" w:rsidRDefault="00B16E34">
      <w:pPr>
        <w:pStyle w:val="Paragrafoelenco"/>
        <w:numPr>
          <w:ilvl w:val="0"/>
          <w:numId w:val="10"/>
        </w:numPr>
        <w:tabs>
          <w:tab w:val="left" w:pos="266"/>
        </w:tabs>
        <w:ind w:left="284" w:hanging="284"/>
        <w:jc w:val="both"/>
        <w:rPr>
          <w:lang w:val="en-GB"/>
        </w:rPr>
      </w:pPr>
      <w:r w:rsidRPr="00AD3D46">
        <w:rPr>
          <w:lang w:val="en-GB"/>
        </w:rPr>
        <w:t>place the fundamental junctures of the history of welfare and assistance within the long-term socio-economic transformations, acquiring an understanding of them from also an interdisciplinary and citizenship perspective;</w:t>
      </w:r>
    </w:p>
    <w:p w14:paraId="11093E59" w14:textId="77777777" w:rsidR="00240625" w:rsidRPr="00AD3D46" w:rsidRDefault="00B16E34">
      <w:pPr>
        <w:pStyle w:val="Paragrafoelenco"/>
        <w:numPr>
          <w:ilvl w:val="0"/>
          <w:numId w:val="10"/>
        </w:numPr>
        <w:tabs>
          <w:tab w:val="left" w:pos="266"/>
        </w:tabs>
        <w:ind w:left="284" w:hanging="284"/>
        <w:jc w:val="both"/>
        <w:rPr>
          <w:lang w:val="en-GB"/>
        </w:rPr>
      </w:pPr>
      <w:r w:rsidRPr="00AD3D46">
        <w:rPr>
          <w:lang w:val="en-GB"/>
        </w:rPr>
        <w:t xml:space="preserve">know and develop skills of applied understanding that allow them to also carry out educational and training interventions while aware of the underlying historical and cultural dynamics; </w:t>
      </w:r>
    </w:p>
    <w:p w14:paraId="2AA99894" w14:textId="77777777" w:rsidR="00240625" w:rsidRPr="00AD3D46" w:rsidRDefault="00B16E34">
      <w:pPr>
        <w:pStyle w:val="Paragrafoelenco"/>
        <w:numPr>
          <w:ilvl w:val="0"/>
          <w:numId w:val="10"/>
        </w:numPr>
        <w:tabs>
          <w:tab w:val="left" w:pos="266"/>
        </w:tabs>
        <w:ind w:left="284" w:hanging="284"/>
        <w:jc w:val="both"/>
        <w:rPr>
          <w:lang w:val="en-GB"/>
        </w:rPr>
      </w:pPr>
      <w:r w:rsidRPr="00AD3D46">
        <w:rPr>
          <w:lang w:val="en-GB"/>
        </w:rPr>
        <w:t xml:space="preserve">know how to communicate information related to social history using the specialist vocabulary; </w:t>
      </w:r>
    </w:p>
    <w:p w14:paraId="474F263E" w14:textId="77777777" w:rsidR="00240625" w:rsidRPr="00AD3D46" w:rsidRDefault="00B16E34">
      <w:pPr>
        <w:pStyle w:val="Paragrafoelenco"/>
        <w:numPr>
          <w:ilvl w:val="0"/>
          <w:numId w:val="10"/>
        </w:numPr>
        <w:tabs>
          <w:tab w:val="left" w:pos="266"/>
        </w:tabs>
        <w:ind w:left="284" w:hanging="284"/>
        <w:jc w:val="both"/>
        <w:rPr>
          <w:lang w:val="en-GB"/>
        </w:rPr>
      </w:pPr>
      <w:r w:rsidRPr="00AD3D46">
        <w:rPr>
          <w:lang w:val="en-GB"/>
        </w:rPr>
        <w:t>develop an autonomy of judgment by drawing information from reference texts and contemporary cultural debate.</w:t>
      </w:r>
    </w:p>
    <w:p w14:paraId="427AEAC2" w14:textId="77777777" w:rsidR="00240625" w:rsidRPr="00AD3D46" w:rsidRDefault="00B16E34">
      <w:pPr>
        <w:pStyle w:val="P68B1DB1-Normale1"/>
        <w:spacing w:before="240" w:after="120"/>
        <w:rPr>
          <w:lang w:val="en-GB"/>
        </w:rPr>
      </w:pPr>
      <w:r w:rsidRPr="00AD3D46">
        <w:rPr>
          <w:lang w:val="en-GB"/>
        </w:rPr>
        <w:t>COURSE CONTENT</w:t>
      </w:r>
    </w:p>
    <w:p w14:paraId="008CE88D" w14:textId="6D65F83A" w:rsidR="00240625" w:rsidRPr="00AD3D46" w:rsidRDefault="00B16E34">
      <w:pPr>
        <w:pStyle w:val="P68B1DB1-Normale2"/>
        <w:rPr>
          <w:lang w:val="en-GB"/>
        </w:rPr>
      </w:pPr>
      <w:r w:rsidRPr="00AD3D46">
        <w:rPr>
          <w:lang w:val="en-GB"/>
        </w:rPr>
        <w:t>The course is divided into two parts: One part (20 hours taught by Prof. Berbenni) will address the main junctions of economic history between the modern and contemporary ages, providing the necessary conceptual background to grasp and interpret the different instances of assistance and welfare expressed over the centuries.</w:t>
      </w:r>
    </w:p>
    <w:p w14:paraId="38C2150E" w14:textId="2E2763C4" w:rsidR="00240625" w:rsidRPr="00AD3D46" w:rsidRDefault="00B16E34">
      <w:pPr>
        <w:pStyle w:val="P68B1DB1-Normale2"/>
        <w:rPr>
          <w:lang w:val="en-GB"/>
        </w:rPr>
      </w:pPr>
      <w:r w:rsidRPr="00AD3D46">
        <w:rPr>
          <w:lang w:val="en-GB"/>
        </w:rPr>
        <w:t xml:space="preserve">The rest of the course (20 hours taught by Prof. Riva) will focus on analysing the historical dynamics of a complex society. In addition to the general characteristics </w:t>
      </w:r>
      <w:r w:rsidRPr="00AD3D46">
        <w:rPr>
          <w:lang w:val="en-GB"/>
        </w:rPr>
        <w:lastRenderedPageBreak/>
        <w:t>of social development read in terms of citizenship, the lectures will make particular reference to the development of welfare and social assistance practices in the modern and contemporary age.</w:t>
      </w:r>
    </w:p>
    <w:p w14:paraId="08AE9DE5" w14:textId="77777777" w:rsidR="00240625" w:rsidRPr="00AD3D46" w:rsidRDefault="00B16E34">
      <w:pPr>
        <w:pStyle w:val="P68B1DB1-Normale3"/>
        <w:spacing w:before="240" w:after="120"/>
        <w:rPr>
          <w:lang w:val="en-GB"/>
        </w:rPr>
      </w:pPr>
      <w:r w:rsidRPr="00AD3D46">
        <w:rPr>
          <w:lang w:val="en-GB"/>
        </w:rPr>
        <w:t>READING LIST</w:t>
      </w:r>
    </w:p>
    <w:p w14:paraId="553C7AA0" w14:textId="1B918FEB" w:rsidR="00240625" w:rsidRPr="00AD3D46" w:rsidRDefault="00B16E34">
      <w:pPr>
        <w:pStyle w:val="P68B1DB1-Paragrafoelenco4"/>
        <w:numPr>
          <w:ilvl w:val="0"/>
          <w:numId w:val="4"/>
        </w:numPr>
        <w:spacing w:line="240" w:lineRule="atLeast"/>
        <w:ind w:left="142" w:hanging="142"/>
        <w:rPr>
          <w:sz w:val="18"/>
          <w:lang w:val="en-GB"/>
        </w:rPr>
      </w:pPr>
      <w:r w:rsidRPr="00AD3D46">
        <w:rPr>
          <w:smallCaps/>
          <w:sz w:val="16"/>
          <w:lang w:val="en-GB"/>
        </w:rPr>
        <w:t>R. Cutini,</w:t>
      </w:r>
      <w:r w:rsidRPr="00AD3D46">
        <w:rPr>
          <w:i/>
          <w:sz w:val="18"/>
          <w:lang w:val="en-GB"/>
        </w:rPr>
        <w:t xml:space="preserve"> Promuovere la democrazia. Storia degli assistenti sociali nell’Italia</w:t>
      </w:r>
      <w:r w:rsidRPr="00AD3D46">
        <w:rPr>
          <w:i/>
          <w:sz w:val="18"/>
          <w:lang w:val="en-GB"/>
        </w:rPr>
        <w:t xml:space="preserve"> del secondo dopoguerra (1944-1960), Viella,</w:t>
      </w:r>
      <w:r w:rsidRPr="00AD3D46">
        <w:rPr>
          <w:sz w:val="18"/>
          <w:lang w:val="en-GB"/>
        </w:rPr>
        <w:t xml:space="preserve"> Rome, 2018</w:t>
      </w:r>
      <w:r w:rsidR="00BC6E13">
        <w:rPr>
          <w:sz w:val="18"/>
          <w:lang w:val="en-GB"/>
        </w:rPr>
        <w:t>.</w:t>
      </w:r>
      <w:r w:rsidRPr="00AD3D46">
        <w:rPr>
          <w:sz w:val="18"/>
          <w:lang w:val="en-GB"/>
        </w:rPr>
        <w:t xml:space="preserve"> (This volume refers to the section of the course held by Prof. Riva)</w:t>
      </w:r>
    </w:p>
    <w:p w14:paraId="0FC3B27C" w14:textId="3A4AE6D7" w:rsidR="00240625" w:rsidRPr="00AD3D46" w:rsidRDefault="00B16E34">
      <w:pPr>
        <w:pStyle w:val="P68B1DB1-Normale5"/>
        <w:rPr>
          <w:sz w:val="24"/>
          <w:lang w:val="en-GB"/>
        </w:rPr>
      </w:pPr>
      <w:r w:rsidRPr="00AD3D46">
        <w:rPr>
          <w:rFonts w:ascii="Times" w:hAnsi="Times"/>
          <w:smallCaps/>
          <w:sz w:val="18"/>
          <w:lang w:val="en-GB"/>
        </w:rPr>
        <w:t>-E. De Simone</w:t>
      </w:r>
      <w:r w:rsidRPr="00AD3D46">
        <w:rPr>
          <w:rFonts w:ascii="Times" w:hAnsi="Times"/>
          <w:sz w:val="18"/>
          <w:lang w:val="en-GB"/>
        </w:rPr>
        <w:t>,</w:t>
      </w:r>
      <w:r w:rsidRPr="00AD3D46">
        <w:rPr>
          <w:rFonts w:ascii="Times" w:hAnsi="Times" w:cs="Calibri"/>
          <w:i/>
          <w:sz w:val="18"/>
          <w:lang w:val="en-GB"/>
        </w:rPr>
        <w:t> Storia economica. Dalla rivoluzione industriale alla rivoluzione informatica,</w:t>
      </w:r>
      <w:r w:rsidRPr="00AD3D46">
        <w:rPr>
          <w:rFonts w:ascii="Times" w:hAnsi="Times"/>
          <w:sz w:val="18"/>
          <w:lang w:val="en-GB"/>
        </w:rPr>
        <w:t xml:space="preserve"> Franco Angeli, Milan, 2014, </w:t>
      </w:r>
      <w:r w:rsidRPr="00AD3D46">
        <w:rPr>
          <w:rFonts w:ascii="Times" w:hAnsi="Times"/>
          <w:sz w:val="18"/>
          <w:lang w:val="en-GB"/>
        </w:rPr>
        <w:t>excluding Chapters 8-14-16-20-28-30-31-33-34-35</w:t>
      </w:r>
      <w:r w:rsidR="00BC6E13">
        <w:rPr>
          <w:rFonts w:ascii="Times" w:hAnsi="Times"/>
          <w:sz w:val="18"/>
          <w:lang w:val="en-GB"/>
        </w:rPr>
        <w:t>.</w:t>
      </w:r>
      <w:r w:rsidRPr="00AD3D46">
        <w:rPr>
          <w:rFonts w:ascii="Times" w:hAnsi="Times"/>
          <w:sz w:val="18"/>
          <w:lang w:val="en-GB"/>
        </w:rPr>
        <w:t xml:space="preserve"> (This volume refers to the preparation of the course section taught by Prof. Enrico Berbenni)</w:t>
      </w:r>
    </w:p>
    <w:p w14:paraId="0C393B79" w14:textId="77777777" w:rsidR="00240625" w:rsidRPr="00AD3D46" w:rsidRDefault="00B16E34">
      <w:pPr>
        <w:pStyle w:val="P68B1DB1-Paragrafoelenco6"/>
        <w:numPr>
          <w:ilvl w:val="0"/>
          <w:numId w:val="4"/>
        </w:numPr>
        <w:spacing w:line="240" w:lineRule="atLeast"/>
        <w:ind w:left="142" w:hanging="142"/>
        <w:rPr>
          <w:lang w:val="en-GB"/>
        </w:rPr>
      </w:pPr>
      <w:r w:rsidRPr="00AD3D46">
        <w:rPr>
          <w:lang w:val="en-GB"/>
        </w:rPr>
        <w:t>Materials made available on Blackboard.</w:t>
      </w:r>
    </w:p>
    <w:p w14:paraId="0AAB414A" w14:textId="77777777" w:rsidR="00240625" w:rsidRPr="00AD3D46" w:rsidRDefault="00B16E34">
      <w:pPr>
        <w:pStyle w:val="P68B1DB1-Normale3"/>
        <w:spacing w:before="240" w:after="120" w:line="220" w:lineRule="exact"/>
        <w:rPr>
          <w:lang w:val="en-GB"/>
        </w:rPr>
      </w:pPr>
      <w:r w:rsidRPr="00AD3D46">
        <w:rPr>
          <w:lang w:val="en-GB"/>
        </w:rPr>
        <w:t>TEACHING METHOD</w:t>
      </w:r>
    </w:p>
    <w:p w14:paraId="66F46D6D" w14:textId="77777777" w:rsidR="00240625" w:rsidRPr="00AD3D46" w:rsidRDefault="00B16E34">
      <w:pPr>
        <w:pStyle w:val="Testo2"/>
        <w:rPr>
          <w:lang w:val="en-GB"/>
        </w:rPr>
      </w:pPr>
      <w:r w:rsidRPr="00AD3D46">
        <w:rPr>
          <w:lang w:val="en-GB"/>
        </w:rPr>
        <w:t xml:space="preserve">The general section will be taught with frontal lectures while the single subject section will be taught in a seminar format in conjunction with scholars or specialists in the various topics using an interactive approach. The material available to students will be optimised with the help of the </w:t>
      </w:r>
      <w:r w:rsidRPr="00AD3D46">
        <w:rPr>
          <w:iCs/>
          <w:lang w:val="en-GB"/>
        </w:rPr>
        <w:t>Blackboard</w:t>
      </w:r>
      <w:r w:rsidRPr="00AD3D46">
        <w:rPr>
          <w:lang w:val="en-GB"/>
        </w:rPr>
        <w:t xml:space="preserve"> platform. </w:t>
      </w:r>
    </w:p>
    <w:p w14:paraId="4A16DB9E" w14:textId="77777777" w:rsidR="00240625" w:rsidRPr="00AD3D46" w:rsidRDefault="00B16E34">
      <w:pPr>
        <w:pStyle w:val="P68B1DB1-Normale3"/>
        <w:spacing w:before="240" w:after="120" w:line="220" w:lineRule="exact"/>
        <w:rPr>
          <w:lang w:val="en-GB"/>
        </w:rPr>
      </w:pPr>
      <w:r w:rsidRPr="00AD3D46">
        <w:rPr>
          <w:lang w:val="en-GB"/>
        </w:rPr>
        <w:t>ASSESSMENT METHOD AND CRITERIA</w:t>
      </w:r>
    </w:p>
    <w:p w14:paraId="69F42140" w14:textId="289AB064" w:rsidR="00240625" w:rsidRPr="00AD3D46" w:rsidRDefault="00B16E34">
      <w:pPr>
        <w:pStyle w:val="Testo2"/>
        <w:rPr>
          <w:lang w:val="en-GB"/>
        </w:rPr>
      </w:pPr>
      <w:r w:rsidRPr="00AD3D46">
        <w:rPr>
          <w:lang w:val="en-GB"/>
        </w:rPr>
        <w:t>Oral exam. Students will have to take two interviews, one for the first section and one for the second section of the course. The final mark will be the average of the two results.</w:t>
      </w:r>
    </w:p>
    <w:p w14:paraId="55AC80D2" w14:textId="77777777" w:rsidR="00240625" w:rsidRPr="00AD3D46" w:rsidRDefault="00B16E34">
      <w:pPr>
        <w:pStyle w:val="Testo2"/>
        <w:rPr>
          <w:lang w:val="en-GB"/>
        </w:rPr>
      </w:pPr>
      <w:r w:rsidRPr="00AD3D46">
        <w:rPr>
          <w:lang w:val="en-GB"/>
        </w:rPr>
        <w:t>The criteria considered in the assessment will be: clarity of presentation (20%), knowledge of the general subject content (50%), critical reflection (15%), the ability to connect general issues to the topics in the deeper insights offered by the reading list (15%).</w:t>
      </w:r>
    </w:p>
    <w:p w14:paraId="55D6D9B2" w14:textId="77777777" w:rsidR="00240625" w:rsidRPr="00AD3D46" w:rsidRDefault="00B16E34">
      <w:pPr>
        <w:pStyle w:val="P68B1DB1-Normale3"/>
        <w:spacing w:before="240" w:after="120"/>
        <w:rPr>
          <w:lang w:val="en-GB"/>
        </w:rPr>
      </w:pPr>
      <w:r w:rsidRPr="00AD3D46">
        <w:rPr>
          <w:lang w:val="en-GB"/>
        </w:rPr>
        <w:t>NOTES AND PREREQUISITES</w:t>
      </w:r>
    </w:p>
    <w:p w14:paraId="2E6A6099" w14:textId="77777777" w:rsidR="00240625" w:rsidRPr="00AD3D46" w:rsidRDefault="00B16E34">
      <w:pPr>
        <w:pStyle w:val="Testo2"/>
        <w:spacing w:after="120"/>
        <w:rPr>
          <w:lang w:val="en-GB"/>
        </w:rPr>
      </w:pPr>
      <w:r w:rsidRPr="00AD3D46">
        <w:rPr>
          <w:lang w:val="en-GB"/>
        </w:rPr>
        <w:t>There are no prerequisites for attending the course.</w:t>
      </w:r>
    </w:p>
    <w:p w14:paraId="4208ACBE" w14:textId="77777777" w:rsidR="00240625" w:rsidRPr="00AD3D46" w:rsidRDefault="00B16E34">
      <w:pPr>
        <w:pStyle w:val="Testo2"/>
        <w:rPr>
          <w:lang w:val="en-GB"/>
        </w:rPr>
      </w:pPr>
      <w:r w:rsidRPr="00AD3D46">
        <w:rPr>
          <w:lang w:val="en-GB"/>
        </w:rPr>
        <w:t>Should the current Covid-19 health emergency not allow face-to-face teaching, remote teaching will be guaranteed using methods that will be communicated in good time to students.</w:t>
      </w:r>
    </w:p>
    <w:p w14:paraId="36F6B70A" w14:textId="77777777" w:rsidR="00240625" w:rsidRPr="00AD3D46" w:rsidRDefault="00240625">
      <w:pPr>
        <w:pStyle w:val="Testo2"/>
        <w:rPr>
          <w:i/>
          <w:lang w:val="en-GB"/>
        </w:rPr>
      </w:pPr>
    </w:p>
    <w:p w14:paraId="7ECADF30" w14:textId="77777777" w:rsidR="00AD3D46" w:rsidRPr="00AD3D46" w:rsidRDefault="00AD3D46" w:rsidP="00AD3D46">
      <w:pPr>
        <w:pStyle w:val="Testo2"/>
        <w:rPr>
          <w:szCs w:val="18"/>
          <w:lang w:val="en-GB"/>
        </w:rPr>
      </w:pPr>
      <w:r w:rsidRPr="00AD3D46">
        <w:rPr>
          <w:lang w:val="en-GB"/>
        </w:rPr>
        <w:t>Further information can be found on the lecturer's webpage at http://docenti.unicatt.it/web/searchByName.do?language=ENG or on the Faculty notice board.</w:t>
      </w:r>
    </w:p>
    <w:p w14:paraId="5B531F1B" w14:textId="73903840" w:rsidR="00240625" w:rsidRPr="00AD3D46" w:rsidRDefault="00240625" w:rsidP="00AD3D46">
      <w:pPr>
        <w:pStyle w:val="P68B1DB1-Testo27"/>
        <w:ind w:firstLine="0"/>
        <w:rPr>
          <w:lang w:val="en-GB"/>
        </w:rPr>
      </w:pPr>
    </w:p>
    <w:sectPr w:rsidR="00240625" w:rsidRPr="00AD3D4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50811"/>
    <w:multiLevelType w:val="hybridMultilevel"/>
    <w:tmpl w:val="E87A25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8D27FD"/>
    <w:multiLevelType w:val="hybridMultilevel"/>
    <w:tmpl w:val="47A026FA"/>
    <w:lvl w:ilvl="0" w:tplc="B44AEA1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B0C5E"/>
    <w:multiLevelType w:val="hybridMultilevel"/>
    <w:tmpl w:val="73761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7243A"/>
    <w:multiLevelType w:val="hybridMultilevel"/>
    <w:tmpl w:val="CD12A128"/>
    <w:lvl w:ilvl="0" w:tplc="FBA816E6">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5E58AA"/>
    <w:multiLevelType w:val="hybridMultilevel"/>
    <w:tmpl w:val="1F72D7A4"/>
    <w:lvl w:ilvl="0" w:tplc="518A7072">
      <w:start w:val="5"/>
      <w:numFmt w:val="bullet"/>
      <w:lvlText w:val="-"/>
      <w:lvlJc w:val="left"/>
      <w:pPr>
        <w:ind w:left="720" w:hanging="360"/>
      </w:pPr>
      <w:rPr>
        <w:rFonts w:ascii="Times" w:eastAsia="Times New Roman" w:hAnsi="Times" w:cs="Times New Roman"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8D3A24"/>
    <w:multiLevelType w:val="hybridMultilevel"/>
    <w:tmpl w:val="61685A10"/>
    <w:lvl w:ilvl="0" w:tplc="B44AEA1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57126F"/>
    <w:multiLevelType w:val="hybridMultilevel"/>
    <w:tmpl w:val="87A44204"/>
    <w:lvl w:ilvl="0" w:tplc="6C9E898E">
      <w:start w:val="5"/>
      <w:numFmt w:val="bullet"/>
      <w:lvlText w:val="-"/>
      <w:lvlJc w:val="left"/>
      <w:pPr>
        <w:ind w:left="720" w:hanging="360"/>
      </w:pPr>
      <w:rPr>
        <w:rFonts w:ascii="Times" w:eastAsia="Times New Roman" w:hAnsi="Times" w:cs="Times New Roman"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3965F1"/>
    <w:multiLevelType w:val="hybridMultilevel"/>
    <w:tmpl w:val="427E61C2"/>
    <w:lvl w:ilvl="0" w:tplc="B44AEA1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3C5909"/>
    <w:multiLevelType w:val="hybridMultilevel"/>
    <w:tmpl w:val="5930D8CC"/>
    <w:lvl w:ilvl="0" w:tplc="B67C5E4C">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30577F"/>
    <w:multiLevelType w:val="hybridMultilevel"/>
    <w:tmpl w:val="9D3ECB7A"/>
    <w:lvl w:ilvl="0" w:tplc="B44AEA1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EC549F"/>
    <w:multiLevelType w:val="hybridMultilevel"/>
    <w:tmpl w:val="6E542702"/>
    <w:lvl w:ilvl="0" w:tplc="A6EAEC58">
      <w:start w:val="5"/>
      <w:numFmt w:val="bullet"/>
      <w:lvlText w:val="-"/>
      <w:lvlJc w:val="left"/>
      <w:pPr>
        <w:ind w:left="720" w:hanging="360"/>
      </w:pPr>
      <w:rPr>
        <w:rFonts w:ascii="Times" w:eastAsia="Times New Roman" w:hAnsi="Times"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E12ECE"/>
    <w:multiLevelType w:val="hybridMultilevel"/>
    <w:tmpl w:val="6070186A"/>
    <w:lvl w:ilvl="0" w:tplc="B44AEA1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4295474">
    <w:abstractNumId w:val="0"/>
  </w:num>
  <w:num w:numId="2" w16cid:durableId="1402950888">
    <w:abstractNumId w:val="3"/>
  </w:num>
  <w:num w:numId="3" w16cid:durableId="1066610521">
    <w:abstractNumId w:val="6"/>
  </w:num>
  <w:num w:numId="4" w16cid:durableId="902372838">
    <w:abstractNumId w:val="2"/>
  </w:num>
  <w:num w:numId="5" w16cid:durableId="1739940471">
    <w:abstractNumId w:val="4"/>
  </w:num>
  <w:num w:numId="6" w16cid:durableId="1209411913">
    <w:abstractNumId w:val="9"/>
  </w:num>
  <w:num w:numId="7" w16cid:durableId="1241479570">
    <w:abstractNumId w:val="8"/>
  </w:num>
  <w:num w:numId="8" w16cid:durableId="1902861773">
    <w:abstractNumId w:val="10"/>
  </w:num>
  <w:num w:numId="9" w16cid:durableId="1190756126">
    <w:abstractNumId w:val="1"/>
  </w:num>
  <w:num w:numId="10" w16cid:durableId="120079889">
    <w:abstractNumId w:val="12"/>
  </w:num>
  <w:num w:numId="11" w16cid:durableId="326786864">
    <w:abstractNumId w:val="11"/>
  </w:num>
  <w:num w:numId="12" w16cid:durableId="682323214">
    <w:abstractNumId w:val="7"/>
  </w:num>
  <w:num w:numId="13" w16cid:durableId="361899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44"/>
    <w:rsid w:val="00037844"/>
    <w:rsid w:val="000E1BC7"/>
    <w:rsid w:val="000E2E89"/>
    <w:rsid w:val="00135AB3"/>
    <w:rsid w:val="00187B99"/>
    <w:rsid w:val="00193B38"/>
    <w:rsid w:val="001B3CD1"/>
    <w:rsid w:val="001D0D84"/>
    <w:rsid w:val="001D5C8A"/>
    <w:rsid w:val="001E618F"/>
    <w:rsid w:val="001F248C"/>
    <w:rsid w:val="002014DD"/>
    <w:rsid w:val="00232177"/>
    <w:rsid w:val="00240625"/>
    <w:rsid w:val="00243AA9"/>
    <w:rsid w:val="00266D9E"/>
    <w:rsid w:val="00270B4A"/>
    <w:rsid w:val="00276E69"/>
    <w:rsid w:val="002D5E17"/>
    <w:rsid w:val="002D78C5"/>
    <w:rsid w:val="002E4C96"/>
    <w:rsid w:val="003058FC"/>
    <w:rsid w:val="00317485"/>
    <w:rsid w:val="003271EC"/>
    <w:rsid w:val="003842DC"/>
    <w:rsid w:val="00390E1F"/>
    <w:rsid w:val="003F6ADA"/>
    <w:rsid w:val="004049D2"/>
    <w:rsid w:val="0040608C"/>
    <w:rsid w:val="004151B2"/>
    <w:rsid w:val="004D1217"/>
    <w:rsid w:val="004D6008"/>
    <w:rsid w:val="004F7AA6"/>
    <w:rsid w:val="0052571C"/>
    <w:rsid w:val="005C03F4"/>
    <w:rsid w:val="005F3A25"/>
    <w:rsid w:val="005F56FE"/>
    <w:rsid w:val="00600A48"/>
    <w:rsid w:val="00606610"/>
    <w:rsid w:val="00640794"/>
    <w:rsid w:val="00664A21"/>
    <w:rsid w:val="006804AD"/>
    <w:rsid w:val="00691D57"/>
    <w:rsid w:val="006A4B30"/>
    <w:rsid w:val="006B0842"/>
    <w:rsid w:val="006F1772"/>
    <w:rsid w:val="00735830"/>
    <w:rsid w:val="00736598"/>
    <w:rsid w:val="00743BAD"/>
    <w:rsid w:val="00781078"/>
    <w:rsid w:val="0078573B"/>
    <w:rsid w:val="007915C3"/>
    <w:rsid w:val="00793884"/>
    <w:rsid w:val="007B323F"/>
    <w:rsid w:val="007F3FC7"/>
    <w:rsid w:val="00813D35"/>
    <w:rsid w:val="008445CF"/>
    <w:rsid w:val="008540A3"/>
    <w:rsid w:val="008942E7"/>
    <w:rsid w:val="008A1204"/>
    <w:rsid w:val="008D5B5C"/>
    <w:rsid w:val="008D5FD8"/>
    <w:rsid w:val="008E1F8B"/>
    <w:rsid w:val="008E76AF"/>
    <w:rsid w:val="00900CCA"/>
    <w:rsid w:val="00924B77"/>
    <w:rsid w:val="00940DA2"/>
    <w:rsid w:val="00941763"/>
    <w:rsid w:val="00951759"/>
    <w:rsid w:val="0096766A"/>
    <w:rsid w:val="009A20DF"/>
    <w:rsid w:val="009E055C"/>
    <w:rsid w:val="009F2EC7"/>
    <w:rsid w:val="00A01593"/>
    <w:rsid w:val="00A13F17"/>
    <w:rsid w:val="00A71ED1"/>
    <w:rsid w:val="00A74F6F"/>
    <w:rsid w:val="00AD3D46"/>
    <w:rsid w:val="00AD7557"/>
    <w:rsid w:val="00AF6F6D"/>
    <w:rsid w:val="00B03274"/>
    <w:rsid w:val="00B13BDA"/>
    <w:rsid w:val="00B16E34"/>
    <w:rsid w:val="00B50C5D"/>
    <w:rsid w:val="00B51253"/>
    <w:rsid w:val="00B525CC"/>
    <w:rsid w:val="00BB7BF2"/>
    <w:rsid w:val="00BC6E13"/>
    <w:rsid w:val="00BD173F"/>
    <w:rsid w:val="00BE47D1"/>
    <w:rsid w:val="00C0233C"/>
    <w:rsid w:val="00C710F5"/>
    <w:rsid w:val="00CA0739"/>
    <w:rsid w:val="00D115BC"/>
    <w:rsid w:val="00D404F2"/>
    <w:rsid w:val="00D47C55"/>
    <w:rsid w:val="00DB3551"/>
    <w:rsid w:val="00DF37BA"/>
    <w:rsid w:val="00E06DF4"/>
    <w:rsid w:val="00E607E6"/>
    <w:rsid w:val="00E949D1"/>
    <w:rsid w:val="00F94B98"/>
    <w:rsid w:val="00FC7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6D259"/>
  <w15:chartTrackingRefBased/>
  <w15:docId w15:val="{652343DA-8741-4C01-996F-C28D5160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3D35"/>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813D35"/>
    <w:pPr>
      <w:tabs>
        <w:tab w:val="clear" w:pos="284"/>
      </w:tabs>
      <w:spacing w:line="240" w:lineRule="auto"/>
      <w:ind w:left="720"/>
      <w:contextualSpacing/>
      <w:jc w:val="left"/>
    </w:pPr>
  </w:style>
  <w:style w:type="paragraph" w:styleId="Testofumetto">
    <w:name w:val="Balloon Text"/>
    <w:basedOn w:val="Normale"/>
    <w:link w:val="TestofumettoCarattere"/>
    <w:semiHidden/>
    <w:unhideWhenUsed/>
    <w:rsid w:val="00135AB3"/>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135AB3"/>
    <w:rPr>
      <w:rFonts w:ascii="Segoe UI" w:hAnsi="Segoe UI" w:cs="Segoe UI"/>
      <w:sz w:val="18"/>
    </w:rPr>
  </w:style>
  <w:style w:type="character" w:customStyle="1" w:styleId="apple-converted-space">
    <w:name w:val="apple-converted-space"/>
    <w:basedOn w:val="Carpredefinitoparagrafo"/>
    <w:rsid w:val="001F248C"/>
  </w:style>
  <w:style w:type="character" w:styleId="Collegamentoipertestuale">
    <w:name w:val="Hyperlink"/>
    <w:basedOn w:val="Carpredefinitoparagrafo"/>
    <w:rsid w:val="00266D9E"/>
    <w:rPr>
      <w:color w:val="0563C1" w:themeColor="hyperlink"/>
      <w:u w:val="single"/>
    </w:rPr>
  </w:style>
  <w:style w:type="character" w:styleId="Menzionenonrisolta">
    <w:name w:val="Unresolved Mention"/>
    <w:basedOn w:val="Carpredefinitoparagrafo"/>
    <w:uiPriority w:val="99"/>
    <w:semiHidden/>
    <w:unhideWhenUsed/>
    <w:rsid w:val="00266D9E"/>
    <w:rPr>
      <w:color w:val="605E5C"/>
      <w:shd w:val="clear" w:color="auto" w:fill="E1DFDD"/>
    </w:rPr>
  </w:style>
  <w:style w:type="paragraph" w:customStyle="1" w:styleId="P68B1DB1-Normale1">
    <w:name w:val="P68B1DB1-Normale1"/>
    <w:basedOn w:val="Normale"/>
    <w:rPr>
      <w:b/>
      <w:i/>
    </w:rPr>
  </w:style>
  <w:style w:type="paragraph" w:customStyle="1" w:styleId="P68B1DB1-Normale2">
    <w:name w:val="P68B1DB1-Normale2"/>
    <w:basedOn w:val="Normale"/>
    <w:rPr>
      <w:rFonts w:eastAsia="MS Mincho"/>
    </w:rPr>
  </w:style>
  <w:style w:type="paragraph" w:customStyle="1" w:styleId="P68B1DB1-Normale3">
    <w:name w:val="P68B1DB1-Normale3"/>
    <w:basedOn w:val="Normale"/>
    <w:rPr>
      <w:b/>
      <w:i/>
      <w:sz w:val="18"/>
    </w:rPr>
  </w:style>
  <w:style w:type="paragraph" w:customStyle="1" w:styleId="P68B1DB1-Paragrafoelenco4">
    <w:name w:val="P68B1DB1-Paragrafoelenco4"/>
    <w:basedOn w:val="Paragrafoelenco"/>
    <w:rPr>
      <w:rFonts w:ascii="Times" w:hAnsi="Times"/>
    </w:rPr>
  </w:style>
  <w:style w:type="paragraph" w:customStyle="1" w:styleId="P68B1DB1-Normale5">
    <w:name w:val="P68B1DB1-Normale5"/>
    <w:basedOn w:val="Normale"/>
    <w:rPr>
      <w:color w:val="000000"/>
    </w:rPr>
  </w:style>
  <w:style w:type="paragraph" w:customStyle="1" w:styleId="P68B1DB1-Paragrafoelenco6">
    <w:name w:val="P68B1DB1-Paragrafoelenco6"/>
    <w:basedOn w:val="Paragrafoelenco"/>
    <w:rPr>
      <w:rFonts w:ascii="Times" w:hAnsi="Times"/>
      <w:sz w:val="18"/>
    </w:rPr>
  </w:style>
  <w:style w:type="paragraph" w:customStyle="1" w:styleId="P68B1DB1-Testo27">
    <w:name w:val="P68B1DB1-Testo27"/>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ED38-18C4-4312-B870-A91EB739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603</Words>
  <Characters>3526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Minessi Andrea</cp:lastModifiedBy>
  <cp:revision>7</cp:revision>
  <cp:lastPrinted>2003-03-27T10:42:00Z</cp:lastPrinted>
  <dcterms:created xsi:type="dcterms:W3CDTF">2023-05-22T14:25:00Z</dcterms:created>
  <dcterms:modified xsi:type="dcterms:W3CDTF">2024-03-29T15:06:00Z</dcterms:modified>
</cp:coreProperties>
</file>