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81CD" w14:textId="26693B2E" w:rsidR="00C216F9" w:rsidRPr="00977CDD" w:rsidRDefault="00C64730" w:rsidP="00524F02">
      <w:pPr>
        <w:pStyle w:val="Titolo1"/>
        <w:ind w:left="0" w:firstLine="0"/>
        <w:rPr>
          <w:lang w:val="en-US"/>
        </w:rPr>
      </w:pPr>
      <w:r w:rsidRPr="00977CDD">
        <w:rPr>
          <w:lang w:val="en-US"/>
        </w:rPr>
        <w:t>Social-</w:t>
      </w:r>
      <w:r w:rsidR="00977CDD">
        <w:rPr>
          <w:lang w:val="en-US"/>
        </w:rPr>
        <w:t>W</w:t>
      </w:r>
      <w:r w:rsidRPr="00977CDD">
        <w:rPr>
          <w:lang w:val="en-US"/>
        </w:rPr>
        <w:t xml:space="preserve">elfare </w:t>
      </w:r>
      <w:r w:rsidR="00977CDD">
        <w:rPr>
          <w:lang w:val="en-US"/>
        </w:rPr>
        <w:t>P</w:t>
      </w:r>
      <w:r w:rsidRPr="00977CDD">
        <w:rPr>
          <w:lang w:val="en-US"/>
        </w:rPr>
        <w:t>olicies</w:t>
      </w:r>
    </w:p>
    <w:p w14:paraId="59C97DFF" w14:textId="77777777" w:rsidR="00C216F9" w:rsidRDefault="00C216F9" w:rsidP="00C216F9">
      <w:pPr>
        <w:pStyle w:val="Titolo2"/>
      </w:pPr>
      <w:r w:rsidRPr="00977CDD">
        <w:rPr>
          <w:lang w:val="en-US"/>
        </w:rPr>
        <w:t xml:space="preserve">Prof. </w:t>
      </w:r>
      <w:r w:rsidR="004550A5" w:rsidRPr="00977CDD">
        <w:rPr>
          <w:lang w:val="en-US"/>
        </w:rPr>
        <w:t xml:space="preserve"> </w:t>
      </w:r>
      <w:r w:rsidR="0025007D" w:rsidRPr="00977CDD">
        <w:rPr>
          <w:lang w:val="en-US"/>
        </w:rPr>
        <w:t>Mara Tognetti</w:t>
      </w:r>
      <w:r w:rsidRPr="00977CDD">
        <w:rPr>
          <w:lang w:val="en-US"/>
        </w:rPr>
        <w:t xml:space="preserve">; </w:t>
      </w:r>
      <w:r w:rsidR="00BF749D" w:rsidRPr="00977CDD">
        <w:rPr>
          <w:lang w:val="en-US"/>
        </w:rPr>
        <w:t>Prof.</w:t>
      </w:r>
      <w:r w:rsidR="004550A5" w:rsidRPr="00977CDD">
        <w:rPr>
          <w:lang w:val="en-US"/>
        </w:rPr>
        <w:t xml:space="preserve"> </w:t>
      </w:r>
      <w:r w:rsidR="00BF749D">
        <w:t>Camilla Landi</w:t>
      </w:r>
    </w:p>
    <w:p w14:paraId="16C6F521" w14:textId="77777777" w:rsidR="00C64730" w:rsidRPr="00A0030D" w:rsidRDefault="00C64730" w:rsidP="00C64730">
      <w:pPr>
        <w:spacing w:before="240" w:after="120"/>
        <w:rPr>
          <w:b/>
          <w:i/>
          <w:sz w:val="18"/>
          <w:lang w:val="en-US"/>
        </w:rPr>
      </w:pPr>
      <w:r w:rsidRPr="00A0030D">
        <w:rPr>
          <w:b/>
          <w:i/>
          <w:sz w:val="18"/>
          <w:lang w:val="en-US"/>
        </w:rPr>
        <w:t xml:space="preserve">COURSE AIMS AND INTENDED LEARNING OUTCOMES </w:t>
      </w:r>
    </w:p>
    <w:p w14:paraId="69B6B9CB" w14:textId="77777777" w:rsidR="004A3A6D" w:rsidRDefault="00221FDD" w:rsidP="00A45979">
      <w:pPr>
        <w:pStyle w:val="Testo2"/>
        <w:rPr>
          <w:sz w:val="20"/>
          <w:szCs w:val="22"/>
          <w:lang w:val="en-US"/>
        </w:rPr>
      </w:pPr>
      <w:r w:rsidRPr="00D86C7A">
        <w:rPr>
          <w:sz w:val="20"/>
          <w:szCs w:val="22"/>
          <w:lang w:val="en-US"/>
        </w:rPr>
        <w:t>The aim of the Course is to provide students concepts and tools for the acquisition and analysis of social welfare policies, for understanding their underlying logic, as well as policy measures and instruments,</w:t>
      </w:r>
      <w:r w:rsidR="00984867" w:rsidRPr="00D86C7A">
        <w:rPr>
          <w:sz w:val="20"/>
          <w:szCs w:val="22"/>
          <w:lang w:val="en-US"/>
        </w:rPr>
        <w:t xml:space="preserve"> and how the latter influence the planning of ser</w:t>
      </w:r>
      <w:r w:rsidR="00FE44A7" w:rsidRPr="00D86C7A">
        <w:rPr>
          <w:sz w:val="20"/>
          <w:szCs w:val="22"/>
          <w:lang w:val="en-US"/>
        </w:rPr>
        <w:t xml:space="preserve">vices and social interventions. </w:t>
      </w:r>
      <w:r w:rsidR="004A6E6E" w:rsidRPr="00D86C7A">
        <w:rPr>
          <w:sz w:val="20"/>
          <w:szCs w:val="22"/>
          <w:lang w:val="en-US"/>
        </w:rPr>
        <w:t>In order to reach these objectives, the key principles and concepts on which social welfare policies are based wi</w:t>
      </w:r>
      <w:r w:rsidR="00FE44A7" w:rsidRPr="00D86C7A">
        <w:rPr>
          <w:sz w:val="20"/>
          <w:szCs w:val="22"/>
          <w:lang w:val="en-US"/>
        </w:rPr>
        <w:t xml:space="preserve">ll be presented and discussed. </w:t>
      </w:r>
      <w:r w:rsidR="004A6E6E" w:rsidRPr="00D86C7A">
        <w:rPr>
          <w:sz w:val="20"/>
          <w:szCs w:val="22"/>
          <w:lang w:val="en-US"/>
        </w:rPr>
        <w:t xml:space="preserve">Subsequently, the historical development of the </w:t>
      </w:r>
      <w:r w:rsidR="0032760B" w:rsidRPr="00D86C7A">
        <w:rPr>
          <w:sz w:val="20"/>
          <w:szCs w:val="22"/>
          <w:lang w:val="en-US"/>
        </w:rPr>
        <w:t>Welfare State</w:t>
      </w:r>
      <w:r w:rsidR="004A6E6E" w:rsidRPr="00D86C7A">
        <w:rPr>
          <w:sz w:val="20"/>
          <w:szCs w:val="22"/>
          <w:lang w:val="en-US"/>
        </w:rPr>
        <w:t xml:space="preserve"> will be illustrated</w:t>
      </w:r>
      <w:r w:rsidR="00F653AD" w:rsidRPr="00D86C7A">
        <w:rPr>
          <w:sz w:val="20"/>
          <w:szCs w:val="22"/>
          <w:lang w:val="en-US"/>
        </w:rPr>
        <w:t xml:space="preserve">, </w:t>
      </w:r>
      <w:r w:rsidR="004A6E6E" w:rsidRPr="00D86C7A">
        <w:rPr>
          <w:sz w:val="20"/>
          <w:szCs w:val="22"/>
          <w:lang w:val="en-US"/>
        </w:rPr>
        <w:t xml:space="preserve">also using a comparative analysis, outlining the different models, as well as the different forms, including the </w:t>
      </w:r>
      <w:r w:rsidR="00A45979" w:rsidRPr="00D86C7A">
        <w:rPr>
          <w:sz w:val="20"/>
          <w:szCs w:val="22"/>
          <w:lang w:val="en-US"/>
        </w:rPr>
        <w:t xml:space="preserve"> </w:t>
      </w:r>
      <w:r w:rsidR="0040566A" w:rsidRPr="00D86C7A">
        <w:rPr>
          <w:sz w:val="20"/>
          <w:szCs w:val="22"/>
          <w:lang w:val="en-US"/>
        </w:rPr>
        <w:t>S</w:t>
      </w:r>
      <w:r w:rsidR="00A45979" w:rsidRPr="00D86C7A">
        <w:rPr>
          <w:sz w:val="20"/>
          <w:szCs w:val="22"/>
          <w:lang w:val="en-US"/>
        </w:rPr>
        <w:t xml:space="preserve">econd </w:t>
      </w:r>
      <w:r w:rsidR="0040566A" w:rsidRPr="00D86C7A">
        <w:rPr>
          <w:sz w:val="20"/>
          <w:szCs w:val="22"/>
          <w:lang w:val="en-US"/>
        </w:rPr>
        <w:t>W</w:t>
      </w:r>
      <w:r w:rsidR="00FE44A7" w:rsidRPr="00D86C7A">
        <w:rPr>
          <w:sz w:val="20"/>
          <w:szCs w:val="22"/>
          <w:lang w:val="en-US"/>
        </w:rPr>
        <w:t>elfare and</w:t>
      </w:r>
      <w:r w:rsidR="004A6E6E" w:rsidRPr="00D86C7A">
        <w:rPr>
          <w:sz w:val="20"/>
          <w:szCs w:val="22"/>
          <w:lang w:val="en-US"/>
        </w:rPr>
        <w:t xml:space="preserve"> cultural</w:t>
      </w:r>
      <w:r w:rsidR="00A45979" w:rsidRPr="00D86C7A">
        <w:rPr>
          <w:sz w:val="20"/>
          <w:szCs w:val="22"/>
          <w:lang w:val="en-US"/>
        </w:rPr>
        <w:t xml:space="preserve"> </w:t>
      </w:r>
      <w:r w:rsidR="0040566A" w:rsidRPr="00D86C7A">
        <w:rPr>
          <w:sz w:val="20"/>
          <w:szCs w:val="22"/>
          <w:lang w:val="en-US"/>
        </w:rPr>
        <w:t>W</w:t>
      </w:r>
      <w:r w:rsidR="00A45979" w:rsidRPr="00D86C7A">
        <w:rPr>
          <w:sz w:val="20"/>
          <w:szCs w:val="22"/>
          <w:lang w:val="en-US"/>
        </w:rPr>
        <w:t xml:space="preserve">elfare. </w:t>
      </w:r>
    </w:p>
    <w:p w14:paraId="1D9E514E" w14:textId="77777777" w:rsidR="00E94A34" w:rsidRPr="00D86C7A" w:rsidRDefault="00E94A34" w:rsidP="00A45979">
      <w:pPr>
        <w:pStyle w:val="Testo2"/>
        <w:rPr>
          <w:sz w:val="20"/>
          <w:szCs w:val="22"/>
          <w:lang w:val="en-US"/>
        </w:rPr>
      </w:pPr>
    </w:p>
    <w:p w14:paraId="2202938A" w14:textId="77777777" w:rsidR="004D5856" w:rsidRPr="00D86C7A" w:rsidRDefault="00141311" w:rsidP="00E94A34">
      <w:pPr>
        <w:pStyle w:val="Testo2"/>
        <w:ind w:firstLine="0"/>
        <w:rPr>
          <w:sz w:val="20"/>
          <w:szCs w:val="22"/>
          <w:lang w:val="en-US"/>
        </w:rPr>
      </w:pPr>
      <w:r w:rsidRPr="00D86C7A">
        <w:rPr>
          <w:sz w:val="20"/>
          <w:szCs w:val="22"/>
          <w:lang w:val="en-US"/>
        </w:rPr>
        <w:t>At the end of the Course, students will be capable of</w:t>
      </w:r>
      <w:r w:rsidR="004D5856" w:rsidRPr="00D86C7A">
        <w:rPr>
          <w:sz w:val="20"/>
          <w:szCs w:val="22"/>
          <w:lang w:val="en-US"/>
        </w:rPr>
        <w:t xml:space="preserve">: </w:t>
      </w:r>
    </w:p>
    <w:p w14:paraId="57E2D319" w14:textId="77777777" w:rsidR="004D5856" w:rsidRPr="00D86C7A" w:rsidRDefault="00141311" w:rsidP="00E94A34">
      <w:pPr>
        <w:pStyle w:val="Testo2"/>
        <w:numPr>
          <w:ilvl w:val="0"/>
          <w:numId w:val="5"/>
        </w:numPr>
        <w:ind w:left="284" w:hanging="284"/>
        <w:rPr>
          <w:sz w:val="20"/>
          <w:szCs w:val="22"/>
          <w:lang w:val="en-US"/>
        </w:rPr>
      </w:pPr>
      <w:r w:rsidRPr="00D86C7A">
        <w:rPr>
          <w:sz w:val="20"/>
          <w:szCs w:val="22"/>
          <w:lang w:val="en-US"/>
        </w:rPr>
        <w:t>knowing the key concepts of social welfare policies and the main relevant theoretical approaches</w:t>
      </w:r>
      <w:r w:rsidR="004D5856" w:rsidRPr="00D86C7A">
        <w:rPr>
          <w:sz w:val="20"/>
          <w:szCs w:val="22"/>
          <w:lang w:val="en-US"/>
        </w:rPr>
        <w:t>;</w:t>
      </w:r>
      <w:r w:rsidR="004A3A6D" w:rsidRPr="00D86C7A">
        <w:rPr>
          <w:sz w:val="20"/>
          <w:szCs w:val="22"/>
          <w:lang w:val="en-US"/>
        </w:rPr>
        <w:t xml:space="preserve"> </w:t>
      </w:r>
    </w:p>
    <w:p w14:paraId="33C9483D" w14:textId="77777777" w:rsidR="004D5856" w:rsidRPr="00D86C7A" w:rsidRDefault="00141311" w:rsidP="00E94A34">
      <w:pPr>
        <w:pStyle w:val="Testo2"/>
        <w:numPr>
          <w:ilvl w:val="0"/>
          <w:numId w:val="5"/>
        </w:numPr>
        <w:ind w:left="284" w:hanging="284"/>
        <w:rPr>
          <w:sz w:val="20"/>
          <w:szCs w:val="22"/>
          <w:lang w:val="en-US"/>
        </w:rPr>
      </w:pPr>
      <w:r w:rsidRPr="00D86C7A">
        <w:rPr>
          <w:sz w:val="20"/>
          <w:szCs w:val="22"/>
          <w:lang w:val="en-US"/>
        </w:rPr>
        <w:t>analysing social</w:t>
      </w:r>
      <w:r w:rsidR="00FE44A7" w:rsidRPr="00D86C7A">
        <w:rPr>
          <w:sz w:val="20"/>
          <w:szCs w:val="22"/>
          <w:lang w:val="en-US"/>
        </w:rPr>
        <w:t xml:space="preserve"> welfare policies, being aware of</w:t>
      </w:r>
      <w:r w:rsidRPr="00D86C7A">
        <w:rPr>
          <w:sz w:val="20"/>
          <w:szCs w:val="22"/>
          <w:lang w:val="en-US"/>
        </w:rPr>
        <w:t xml:space="preserve"> the</w:t>
      </w:r>
      <w:r w:rsidR="00FE44A7" w:rsidRPr="00D86C7A">
        <w:rPr>
          <w:sz w:val="20"/>
          <w:szCs w:val="22"/>
          <w:lang w:val="en-US"/>
        </w:rPr>
        <w:t xml:space="preserve"> founding rationale</w:t>
      </w:r>
      <w:r w:rsidRPr="00D86C7A">
        <w:rPr>
          <w:sz w:val="20"/>
          <w:szCs w:val="22"/>
          <w:lang w:val="en-US"/>
        </w:rPr>
        <w:t xml:space="preserve"> and the related policy instruments;  </w:t>
      </w:r>
    </w:p>
    <w:p w14:paraId="4BE5240D" w14:textId="77777777" w:rsidR="004D5856" w:rsidRPr="00D86C7A" w:rsidRDefault="00141311" w:rsidP="00E94A34">
      <w:pPr>
        <w:pStyle w:val="Testo2"/>
        <w:numPr>
          <w:ilvl w:val="0"/>
          <w:numId w:val="5"/>
        </w:numPr>
        <w:ind w:left="284" w:hanging="284"/>
        <w:rPr>
          <w:sz w:val="20"/>
          <w:szCs w:val="22"/>
          <w:lang w:val="en-US"/>
        </w:rPr>
      </w:pPr>
      <w:r w:rsidRPr="00D86C7A">
        <w:rPr>
          <w:sz w:val="20"/>
          <w:szCs w:val="22"/>
          <w:lang w:val="en-US"/>
        </w:rPr>
        <w:t>analysing the roles and functions of the different actors</w:t>
      </w:r>
      <w:r w:rsidR="00FE44A7" w:rsidRPr="00D86C7A">
        <w:rPr>
          <w:sz w:val="20"/>
          <w:szCs w:val="22"/>
          <w:lang w:val="en-US"/>
        </w:rPr>
        <w:t xml:space="preserve"> </w:t>
      </w:r>
      <w:r w:rsidRPr="00D86C7A">
        <w:rPr>
          <w:sz w:val="20"/>
          <w:szCs w:val="22"/>
          <w:lang w:val="en-US"/>
        </w:rPr>
        <w:t xml:space="preserve">operating in the field of social welfare policies; </w:t>
      </w:r>
    </w:p>
    <w:p w14:paraId="30A4E309" w14:textId="77777777" w:rsidR="00B933E9" w:rsidRPr="00D86C7A" w:rsidRDefault="00CC4FFF" w:rsidP="00E94A34">
      <w:pPr>
        <w:pStyle w:val="Testo2"/>
        <w:numPr>
          <w:ilvl w:val="0"/>
          <w:numId w:val="5"/>
        </w:numPr>
        <w:ind w:left="284" w:hanging="284"/>
        <w:rPr>
          <w:sz w:val="20"/>
          <w:szCs w:val="22"/>
          <w:lang w:val="en-US"/>
        </w:rPr>
      </w:pPr>
      <w:r w:rsidRPr="00D86C7A">
        <w:rPr>
          <w:sz w:val="20"/>
          <w:szCs w:val="22"/>
          <w:lang w:val="en-US"/>
        </w:rPr>
        <w:t xml:space="preserve">demonstrating operational </w:t>
      </w:r>
      <w:r w:rsidR="00FE44A7" w:rsidRPr="00D86C7A">
        <w:rPr>
          <w:sz w:val="20"/>
          <w:szCs w:val="22"/>
          <w:lang w:val="en-US"/>
        </w:rPr>
        <w:t>competence</w:t>
      </w:r>
      <w:r w:rsidRPr="00D86C7A">
        <w:rPr>
          <w:sz w:val="20"/>
          <w:szCs w:val="22"/>
          <w:lang w:val="en-US"/>
        </w:rPr>
        <w:t xml:space="preserve"> related to the links between the different welfare policies and between policies and services and social interventions. </w:t>
      </w:r>
    </w:p>
    <w:p w14:paraId="40A6A1B8" w14:textId="77777777" w:rsidR="00C64730" w:rsidRPr="000A7D65" w:rsidRDefault="00C64730" w:rsidP="00C64730">
      <w:pPr>
        <w:spacing w:before="240" w:after="120"/>
        <w:rPr>
          <w:b/>
          <w:i/>
          <w:sz w:val="18"/>
          <w:lang w:val="fr-FR"/>
        </w:rPr>
      </w:pPr>
      <w:r>
        <w:rPr>
          <w:b/>
          <w:i/>
          <w:sz w:val="18"/>
          <w:lang w:val="fr-FR"/>
        </w:rPr>
        <w:t>COURSE CONTENT</w:t>
      </w:r>
    </w:p>
    <w:p w14:paraId="5396D454" w14:textId="3DAD6C06" w:rsidR="00225CBF" w:rsidRPr="00D86C7A" w:rsidRDefault="00CC4FFF" w:rsidP="00A45979">
      <w:pPr>
        <w:pStyle w:val="Testo2"/>
        <w:numPr>
          <w:ilvl w:val="0"/>
          <w:numId w:val="4"/>
        </w:numPr>
        <w:ind w:left="284" w:hanging="284"/>
        <w:rPr>
          <w:sz w:val="20"/>
          <w:szCs w:val="22"/>
          <w:lang w:val="en-US"/>
        </w:rPr>
      </w:pPr>
      <w:r w:rsidRPr="00D86C7A">
        <w:rPr>
          <w:sz w:val="20"/>
          <w:szCs w:val="22"/>
          <w:lang w:val="en-US"/>
        </w:rPr>
        <w:t>Key concepts for the anal</w:t>
      </w:r>
      <w:r w:rsidR="00FE44A7" w:rsidRPr="00D86C7A">
        <w:rPr>
          <w:sz w:val="20"/>
          <w:szCs w:val="22"/>
          <w:lang w:val="en-US"/>
        </w:rPr>
        <w:t xml:space="preserve">ysis of social welfare policies: </w:t>
      </w:r>
      <w:r w:rsidR="00225CBF" w:rsidRPr="00D86C7A">
        <w:rPr>
          <w:sz w:val="20"/>
          <w:szCs w:val="22"/>
          <w:lang w:val="en-US"/>
        </w:rPr>
        <w:t>su</w:t>
      </w:r>
      <w:r w:rsidRPr="00D86C7A">
        <w:rPr>
          <w:sz w:val="20"/>
          <w:szCs w:val="22"/>
          <w:lang w:val="en-US"/>
        </w:rPr>
        <w:t>bsidiarity</w:t>
      </w:r>
      <w:r w:rsidR="00225CBF" w:rsidRPr="00D86C7A">
        <w:rPr>
          <w:sz w:val="20"/>
          <w:szCs w:val="22"/>
          <w:lang w:val="en-US"/>
        </w:rPr>
        <w:t>, governance, part</w:t>
      </w:r>
      <w:r w:rsidR="00977CDD" w:rsidRPr="00D86C7A">
        <w:rPr>
          <w:sz w:val="20"/>
          <w:szCs w:val="22"/>
          <w:lang w:val="en-US"/>
        </w:rPr>
        <w:t>i</w:t>
      </w:r>
      <w:r w:rsidR="00225CBF" w:rsidRPr="00D86C7A">
        <w:rPr>
          <w:sz w:val="20"/>
          <w:szCs w:val="22"/>
          <w:lang w:val="en-US"/>
        </w:rPr>
        <w:t>cipa</w:t>
      </w:r>
      <w:r w:rsidRPr="00D86C7A">
        <w:rPr>
          <w:sz w:val="20"/>
          <w:szCs w:val="22"/>
          <w:lang w:val="en-US"/>
        </w:rPr>
        <w:t>tion</w:t>
      </w:r>
      <w:r w:rsidR="00225CBF" w:rsidRPr="00D86C7A">
        <w:rPr>
          <w:sz w:val="20"/>
          <w:szCs w:val="22"/>
          <w:lang w:val="en-US"/>
        </w:rPr>
        <w:t>, cit</w:t>
      </w:r>
      <w:r w:rsidRPr="00D86C7A">
        <w:rPr>
          <w:sz w:val="20"/>
          <w:szCs w:val="22"/>
          <w:lang w:val="en-US"/>
        </w:rPr>
        <w:t>izenship</w:t>
      </w:r>
      <w:r w:rsidR="00225CBF" w:rsidRPr="00D86C7A">
        <w:rPr>
          <w:sz w:val="20"/>
          <w:szCs w:val="22"/>
          <w:lang w:val="en-US"/>
        </w:rPr>
        <w:t xml:space="preserve">, </w:t>
      </w:r>
      <w:r w:rsidRPr="00D86C7A">
        <w:rPr>
          <w:sz w:val="20"/>
          <w:szCs w:val="22"/>
          <w:lang w:val="en-US"/>
        </w:rPr>
        <w:t>social rights</w:t>
      </w:r>
      <w:r w:rsidR="00A06B24" w:rsidRPr="00D86C7A">
        <w:rPr>
          <w:sz w:val="20"/>
          <w:szCs w:val="22"/>
          <w:lang w:val="en-US"/>
        </w:rPr>
        <w:t>, inclusion</w:t>
      </w:r>
      <w:r w:rsidR="00225CBF" w:rsidRPr="00D86C7A">
        <w:rPr>
          <w:sz w:val="20"/>
          <w:szCs w:val="22"/>
          <w:lang w:val="en-US"/>
        </w:rPr>
        <w:t xml:space="preserve"> </w:t>
      </w:r>
    </w:p>
    <w:p w14:paraId="5C5C751A" w14:textId="77777777" w:rsidR="00DA4C3D" w:rsidRPr="00D86C7A" w:rsidRDefault="00CC4FFF" w:rsidP="00A45979">
      <w:pPr>
        <w:pStyle w:val="Testo2"/>
        <w:numPr>
          <w:ilvl w:val="0"/>
          <w:numId w:val="4"/>
        </w:numPr>
        <w:rPr>
          <w:sz w:val="20"/>
          <w:szCs w:val="22"/>
          <w:lang w:val="en-US"/>
        </w:rPr>
      </w:pPr>
      <w:r w:rsidRPr="00D86C7A">
        <w:rPr>
          <w:sz w:val="20"/>
          <w:szCs w:val="22"/>
          <w:lang w:val="en-US"/>
        </w:rPr>
        <w:t>The</w:t>
      </w:r>
      <w:r w:rsidR="00DA4C3D" w:rsidRPr="00D86C7A">
        <w:rPr>
          <w:sz w:val="20"/>
          <w:szCs w:val="22"/>
          <w:lang w:val="en-US"/>
        </w:rPr>
        <w:t xml:space="preserve"> Welfare State </w:t>
      </w:r>
      <w:r w:rsidRPr="00D86C7A">
        <w:rPr>
          <w:sz w:val="20"/>
          <w:szCs w:val="22"/>
          <w:lang w:val="en-US"/>
        </w:rPr>
        <w:t>and its historical development</w:t>
      </w:r>
    </w:p>
    <w:p w14:paraId="6205576F" w14:textId="77777777" w:rsidR="00DA4C3D" w:rsidRPr="00D86C7A" w:rsidRDefault="00DA4C3D" w:rsidP="00A45979">
      <w:pPr>
        <w:pStyle w:val="Testo2"/>
        <w:numPr>
          <w:ilvl w:val="0"/>
          <w:numId w:val="4"/>
        </w:numPr>
        <w:rPr>
          <w:sz w:val="20"/>
          <w:szCs w:val="22"/>
        </w:rPr>
      </w:pPr>
      <w:r w:rsidRPr="00D86C7A">
        <w:rPr>
          <w:sz w:val="20"/>
          <w:szCs w:val="22"/>
        </w:rPr>
        <w:t>Diff</w:t>
      </w:r>
      <w:r w:rsidR="00F37326" w:rsidRPr="00D86C7A">
        <w:rPr>
          <w:sz w:val="20"/>
          <w:szCs w:val="22"/>
        </w:rPr>
        <w:t>erent Welfare State models</w:t>
      </w:r>
      <w:r w:rsidRPr="00D86C7A">
        <w:rPr>
          <w:sz w:val="20"/>
          <w:szCs w:val="22"/>
        </w:rPr>
        <w:t xml:space="preserve"> </w:t>
      </w:r>
    </w:p>
    <w:p w14:paraId="01F83A3C" w14:textId="77777777" w:rsidR="00225CBF" w:rsidRPr="00D86C7A" w:rsidRDefault="00F37326" w:rsidP="00A45979">
      <w:pPr>
        <w:pStyle w:val="Testo2"/>
        <w:numPr>
          <w:ilvl w:val="0"/>
          <w:numId w:val="4"/>
        </w:numPr>
        <w:rPr>
          <w:sz w:val="20"/>
          <w:szCs w:val="22"/>
          <w:lang w:val="en-US"/>
        </w:rPr>
      </w:pPr>
      <w:r w:rsidRPr="00D86C7A">
        <w:rPr>
          <w:sz w:val="20"/>
          <w:szCs w:val="22"/>
          <w:lang w:val="en-US"/>
        </w:rPr>
        <w:t>The</w:t>
      </w:r>
      <w:r w:rsidR="00225CBF" w:rsidRPr="00D86C7A">
        <w:rPr>
          <w:sz w:val="20"/>
          <w:szCs w:val="22"/>
          <w:lang w:val="en-US"/>
        </w:rPr>
        <w:t xml:space="preserve"> Welfare mix: </w:t>
      </w:r>
      <w:r w:rsidRPr="00D86C7A">
        <w:rPr>
          <w:sz w:val="20"/>
          <w:szCs w:val="22"/>
          <w:lang w:val="en-US"/>
        </w:rPr>
        <w:t>developments</w:t>
      </w:r>
      <w:r w:rsidR="00225CBF" w:rsidRPr="00D86C7A">
        <w:rPr>
          <w:sz w:val="20"/>
          <w:szCs w:val="22"/>
          <w:lang w:val="en-US"/>
        </w:rPr>
        <w:t xml:space="preserve">, </w:t>
      </w:r>
      <w:r w:rsidR="00FE44A7" w:rsidRPr="00D86C7A">
        <w:rPr>
          <w:sz w:val="20"/>
          <w:szCs w:val="22"/>
          <w:lang w:val="en-US"/>
        </w:rPr>
        <w:t>current trends and current</w:t>
      </w:r>
      <w:r w:rsidRPr="00D86C7A">
        <w:rPr>
          <w:sz w:val="20"/>
          <w:szCs w:val="22"/>
          <w:lang w:val="en-US"/>
        </w:rPr>
        <w:t xml:space="preserve"> issues</w:t>
      </w:r>
    </w:p>
    <w:p w14:paraId="2ADEBB68" w14:textId="064C8F8A" w:rsidR="00DA4C3D" w:rsidRPr="00D86C7A" w:rsidRDefault="00F37326" w:rsidP="00A45979">
      <w:pPr>
        <w:pStyle w:val="Testo2"/>
        <w:numPr>
          <w:ilvl w:val="0"/>
          <w:numId w:val="4"/>
        </w:numPr>
        <w:rPr>
          <w:sz w:val="20"/>
          <w:szCs w:val="22"/>
          <w:lang w:val="en-US"/>
        </w:rPr>
      </w:pPr>
      <w:r w:rsidRPr="00D86C7A">
        <w:rPr>
          <w:sz w:val="20"/>
          <w:szCs w:val="22"/>
          <w:lang w:val="en-US"/>
        </w:rPr>
        <w:t>The</w:t>
      </w:r>
      <w:r w:rsidR="00DA4C3D" w:rsidRPr="00D86C7A">
        <w:rPr>
          <w:sz w:val="20"/>
          <w:szCs w:val="22"/>
          <w:lang w:val="en-US"/>
        </w:rPr>
        <w:t xml:space="preserve"> </w:t>
      </w:r>
      <w:r w:rsidR="009C1DA5" w:rsidRPr="009C1DA5">
        <w:rPr>
          <w:sz w:val="20"/>
          <w:szCs w:val="22"/>
          <w:lang w:val="en-US"/>
        </w:rPr>
        <w:t>declinations of current welfare</w:t>
      </w:r>
      <w:r w:rsidR="009C1DA5">
        <w:rPr>
          <w:sz w:val="20"/>
          <w:szCs w:val="22"/>
          <w:lang w:val="en-US"/>
        </w:rPr>
        <w:t xml:space="preserve">: </w:t>
      </w:r>
      <w:r w:rsidR="00A06B24" w:rsidRPr="00D86C7A">
        <w:rPr>
          <w:sz w:val="20"/>
          <w:szCs w:val="22"/>
          <w:lang w:val="en-US"/>
        </w:rPr>
        <w:t>S</w:t>
      </w:r>
      <w:r w:rsidR="00DA4C3D" w:rsidRPr="00D86C7A">
        <w:rPr>
          <w:sz w:val="20"/>
          <w:szCs w:val="22"/>
          <w:lang w:val="en-US"/>
        </w:rPr>
        <w:t>econd Welfare</w:t>
      </w:r>
      <w:r w:rsidR="009C1DA5">
        <w:rPr>
          <w:sz w:val="20"/>
          <w:szCs w:val="22"/>
          <w:lang w:val="en-US"/>
        </w:rPr>
        <w:t xml:space="preserve">, </w:t>
      </w:r>
      <w:r w:rsidR="009C1DA5" w:rsidRPr="009C1DA5">
        <w:rPr>
          <w:sz w:val="20"/>
          <w:szCs w:val="22"/>
          <w:lang w:val="en-US"/>
        </w:rPr>
        <w:t>Community welfare, responsible welfare</w:t>
      </w:r>
    </w:p>
    <w:p w14:paraId="3DC853AF" w14:textId="77777777" w:rsidR="00DA4C3D" w:rsidRDefault="00FE44A7" w:rsidP="00A45979">
      <w:pPr>
        <w:pStyle w:val="Testo2"/>
        <w:numPr>
          <w:ilvl w:val="0"/>
          <w:numId w:val="4"/>
        </w:numPr>
        <w:rPr>
          <w:sz w:val="20"/>
          <w:szCs w:val="22"/>
        </w:rPr>
      </w:pPr>
      <w:r w:rsidRPr="00D86C7A">
        <w:rPr>
          <w:sz w:val="20"/>
          <w:szCs w:val="22"/>
        </w:rPr>
        <w:t>C</w:t>
      </w:r>
      <w:r w:rsidR="00F37326" w:rsidRPr="00D86C7A">
        <w:rPr>
          <w:sz w:val="20"/>
          <w:szCs w:val="22"/>
        </w:rPr>
        <w:t xml:space="preserve">ultural </w:t>
      </w:r>
      <w:r w:rsidR="00DA4C3D" w:rsidRPr="00D86C7A">
        <w:rPr>
          <w:sz w:val="20"/>
          <w:szCs w:val="22"/>
        </w:rPr>
        <w:t>Welfare</w:t>
      </w:r>
      <w:r w:rsidR="0040566A" w:rsidRPr="00D86C7A">
        <w:rPr>
          <w:sz w:val="20"/>
          <w:szCs w:val="22"/>
        </w:rPr>
        <w:t>:</w:t>
      </w:r>
      <w:r w:rsidR="00A06B24" w:rsidRPr="00D86C7A">
        <w:rPr>
          <w:sz w:val="20"/>
          <w:szCs w:val="22"/>
        </w:rPr>
        <w:t xml:space="preserve"> </w:t>
      </w:r>
      <w:r w:rsidR="00F37326" w:rsidRPr="00D86C7A">
        <w:rPr>
          <w:sz w:val="20"/>
          <w:szCs w:val="22"/>
        </w:rPr>
        <w:t>new opportunities</w:t>
      </w:r>
      <w:r w:rsidR="00DA4C3D" w:rsidRPr="00D86C7A">
        <w:rPr>
          <w:sz w:val="20"/>
          <w:szCs w:val="22"/>
        </w:rPr>
        <w:t xml:space="preserve"> </w:t>
      </w:r>
    </w:p>
    <w:p w14:paraId="5A21C6C7" w14:textId="56F380C6" w:rsidR="009C1DA5" w:rsidRPr="00D86C7A" w:rsidRDefault="009C1DA5" w:rsidP="00A45979">
      <w:pPr>
        <w:pStyle w:val="Testo2"/>
        <w:numPr>
          <w:ilvl w:val="0"/>
          <w:numId w:val="4"/>
        </w:numPr>
        <w:rPr>
          <w:sz w:val="20"/>
          <w:szCs w:val="22"/>
        </w:rPr>
      </w:pPr>
      <w:r w:rsidRPr="009C1DA5">
        <w:rPr>
          <w:sz w:val="20"/>
          <w:szCs w:val="22"/>
        </w:rPr>
        <w:t>Shared administration, co-programming and co-planning</w:t>
      </w:r>
    </w:p>
    <w:p w14:paraId="493F3551" w14:textId="77777777" w:rsidR="00225CBF" w:rsidRPr="00D86C7A" w:rsidRDefault="00F37326" w:rsidP="00A45979">
      <w:pPr>
        <w:pStyle w:val="Testo2"/>
        <w:numPr>
          <w:ilvl w:val="0"/>
          <w:numId w:val="4"/>
        </w:numPr>
        <w:ind w:left="284" w:hanging="284"/>
        <w:rPr>
          <w:sz w:val="20"/>
          <w:szCs w:val="22"/>
          <w:lang w:val="en-US"/>
        </w:rPr>
      </w:pPr>
      <w:r w:rsidRPr="00D86C7A">
        <w:rPr>
          <w:sz w:val="20"/>
          <w:szCs w:val="22"/>
          <w:lang w:val="en-US"/>
        </w:rPr>
        <w:t xml:space="preserve">Main social welfare policies in Italy (with a specific focus on  </w:t>
      </w:r>
      <w:r w:rsidR="00F101BB" w:rsidRPr="00D86C7A">
        <w:rPr>
          <w:sz w:val="20"/>
          <w:szCs w:val="22"/>
          <w:lang w:val="en-US"/>
        </w:rPr>
        <w:t>poverty reduction policies, immigration policies</w:t>
      </w:r>
      <w:r w:rsidR="00D119B0" w:rsidRPr="00D86C7A">
        <w:rPr>
          <w:sz w:val="20"/>
          <w:szCs w:val="22"/>
          <w:lang w:val="en-US"/>
        </w:rPr>
        <w:t xml:space="preserve"> and </w:t>
      </w:r>
      <w:r w:rsidR="00225CBF" w:rsidRPr="00D86C7A">
        <w:rPr>
          <w:sz w:val="20"/>
          <w:szCs w:val="22"/>
          <w:lang w:val="en-US"/>
        </w:rPr>
        <w:t>“long-term care”</w:t>
      </w:r>
      <w:r w:rsidR="00D119B0" w:rsidRPr="00D86C7A">
        <w:rPr>
          <w:sz w:val="20"/>
          <w:szCs w:val="22"/>
          <w:lang w:val="en-US"/>
        </w:rPr>
        <w:t xml:space="preserve"> policies</w:t>
      </w:r>
      <w:r w:rsidR="00225CBF" w:rsidRPr="00D86C7A">
        <w:rPr>
          <w:sz w:val="20"/>
          <w:szCs w:val="22"/>
          <w:lang w:val="en-US"/>
        </w:rPr>
        <w:t>)</w:t>
      </w:r>
    </w:p>
    <w:p w14:paraId="18ED4EFA" w14:textId="77777777" w:rsidR="00225CBF" w:rsidRPr="00D86C7A" w:rsidRDefault="00D119B0" w:rsidP="00A45979">
      <w:pPr>
        <w:pStyle w:val="Testo2"/>
        <w:numPr>
          <w:ilvl w:val="0"/>
          <w:numId w:val="4"/>
        </w:numPr>
        <w:rPr>
          <w:sz w:val="20"/>
          <w:szCs w:val="22"/>
          <w:lang w:val="en-US"/>
        </w:rPr>
      </w:pPr>
      <w:r w:rsidRPr="00D86C7A">
        <w:rPr>
          <w:sz w:val="20"/>
          <w:szCs w:val="22"/>
          <w:lang w:val="en-US"/>
        </w:rPr>
        <w:t>Development and implementation of integrated policies</w:t>
      </w:r>
    </w:p>
    <w:p w14:paraId="6724E1E1" w14:textId="6921054A" w:rsidR="00C64730" w:rsidRDefault="00D119B0" w:rsidP="00D86C7A">
      <w:pPr>
        <w:pStyle w:val="Testo2"/>
        <w:numPr>
          <w:ilvl w:val="0"/>
          <w:numId w:val="4"/>
        </w:numPr>
        <w:rPr>
          <w:sz w:val="20"/>
          <w:szCs w:val="22"/>
          <w:lang w:val="en-US"/>
        </w:rPr>
      </w:pPr>
      <w:r w:rsidRPr="00D86C7A">
        <w:rPr>
          <w:sz w:val="20"/>
          <w:szCs w:val="22"/>
          <w:lang w:val="en-US"/>
        </w:rPr>
        <w:t xml:space="preserve">From social welfare policies to the programming of social services and interventions.  </w:t>
      </w:r>
    </w:p>
    <w:p w14:paraId="32D4D5CE" w14:textId="77777777" w:rsidR="00D86C7A" w:rsidRPr="00D86C7A" w:rsidRDefault="00D86C7A" w:rsidP="00D86C7A">
      <w:pPr>
        <w:pStyle w:val="Testo2"/>
        <w:ind w:left="360" w:firstLine="0"/>
        <w:rPr>
          <w:sz w:val="20"/>
          <w:szCs w:val="22"/>
          <w:lang w:val="en-US"/>
        </w:rPr>
      </w:pPr>
    </w:p>
    <w:p w14:paraId="0CFA7026" w14:textId="77777777" w:rsidR="00C64730" w:rsidRPr="00977CDD" w:rsidRDefault="00C64730" w:rsidP="00C64730">
      <w:pPr>
        <w:keepNext/>
        <w:spacing w:before="120" w:line="60" w:lineRule="atLeast"/>
        <w:rPr>
          <w:b/>
          <w:i/>
          <w:sz w:val="18"/>
          <w:lang w:val="it-IT"/>
        </w:rPr>
      </w:pPr>
      <w:r w:rsidRPr="00977CDD">
        <w:rPr>
          <w:b/>
          <w:i/>
          <w:sz w:val="18"/>
          <w:lang w:val="it-IT"/>
        </w:rPr>
        <w:lastRenderedPageBreak/>
        <w:t>READING LIST</w:t>
      </w:r>
    </w:p>
    <w:p w14:paraId="5204D218" w14:textId="77777777" w:rsidR="007C3DCB" w:rsidRDefault="007C3DCB" w:rsidP="00C216F9">
      <w:pPr>
        <w:pStyle w:val="Testo1"/>
        <w:spacing w:before="0" w:line="240" w:lineRule="atLeast"/>
        <w:rPr>
          <w:rFonts w:eastAsia="MS Mincho"/>
          <w:noProof w:val="0"/>
          <w:color w:val="000000" w:themeColor="text1"/>
          <w:spacing w:val="-5"/>
        </w:rPr>
      </w:pPr>
      <w:r w:rsidRPr="00977CDD">
        <w:rPr>
          <w:rFonts w:eastAsia="MS Mincho"/>
          <w:smallCaps/>
          <w:color w:val="000000" w:themeColor="text1"/>
          <w:spacing w:val="-5"/>
          <w:sz w:val="16"/>
          <w:lang w:val="en-US"/>
        </w:rPr>
        <w:t>C. Giorgi (</w:t>
      </w:r>
      <w:r w:rsidR="00AD3D0A" w:rsidRPr="00977CDD">
        <w:rPr>
          <w:rFonts w:eastAsia="MS Mincho"/>
          <w:smallCaps/>
          <w:color w:val="000000" w:themeColor="text1"/>
          <w:spacing w:val="-5"/>
          <w:sz w:val="14"/>
          <w:szCs w:val="14"/>
          <w:lang w:val="en-US"/>
        </w:rPr>
        <w:t>EDITED BY</w:t>
      </w:r>
      <w:r w:rsidRPr="00977CDD">
        <w:rPr>
          <w:rFonts w:eastAsia="MS Mincho"/>
          <w:smallCaps/>
          <w:color w:val="000000" w:themeColor="text1"/>
          <w:spacing w:val="-5"/>
          <w:sz w:val="16"/>
          <w:lang w:val="en-US"/>
        </w:rPr>
        <w:t xml:space="preserve">), </w:t>
      </w:r>
      <w:r w:rsidRPr="00977CDD">
        <w:rPr>
          <w:rFonts w:eastAsia="MS Mincho"/>
          <w:i/>
          <w:noProof w:val="0"/>
          <w:color w:val="000000" w:themeColor="text1"/>
          <w:spacing w:val="-5"/>
          <w:lang w:val="en-US"/>
        </w:rPr>
        <w:t xml:space="preserve">Welfare. </w:t>
      </w:r>
      <w:r w:rsidRPr="007C3DCB">
        <w:rPr>
          <w:rFonts w:eastAsia="MS Mincho"/>
          <w:i/>
          <w:noProof w:val="0"/>
          <w:color w:val="000000" w:themeColor="text1"/>
          <w:spacing w:val="-5"/>
        </w:rPr>
        <w:t xml:space="preserve">Attualità e prospettive, </w:t>
      </w:r>
      <w:r w:rsidRPr="007C3DCB">
        <w:rPr>
          <w:rFonts w:eastAsia="MS Mincho"/>
          <w:noProof w:val="0"/>
          <w:color w:val="000000" w:themeColor="text1"/>
          <w:spacing w:val="-5"/>
        </w:rPr>
        <w:t>Carocci</w:t>
      </w:r>
      <w:r>
        <w:rPr>
          <w:rFonts w:eastAsia="MS Mincho"/>
          <w:noProof w:val="0"/>
          <w:color w:val="000000" w:themeColor="text1"/>
          <w:spacing w:val="-5"/>
        </w:rPr>
        <w:t>, Rom</w:t>
      </w:r>
      <w:r w:rsidR="00D4006D">
        <w:rPr>
          <w:rFonts w:eastAsia="MS Mincho"/>
          <w:noProof w:val="0"/>
          <w:color w:val="000000" w:themeColor="text1"/>
          <w:spacing w:val="-5"/>
        </w:rPr>
        <w:t>e</w:t>
      </w:r>
      <w:r>
        <w:rPr>
          <w:rFonts w:eastAsia="MS Mincho"/>
          <w:noProof w:val="0"/>
          <w:color w:val="000000" w:themeColor="text1"/>
          <w:spacing w:val="-5"/>
        </w:rPr>
        <w:t xml:space="preserve">, 2022. </w:t>
      </w:r>
    </w:p>
    <w:p w14:paraId="17D88E19" w14:textId="57E70E33" w:rsidR="009C1DA5" w:rsidRDefault="009C1DA5" w:rsidP="00A718FC">
      <w:pPr>
        <w:pStyle w:val="Testo1"/>
        <w:spacing w:before="0" w:line="240" w:lineRule="atLeast"/>
        <w:ind w:firstLine="0"/>
        <w:rPr>
          <w:rFonts w:eastAsia="MS Mincho"/>
          <w:noProof w:val="0"/>
          <w:color w:val="000000" w:themeColor="text1"/>
          <w:spacing w:val="-5"/>
          <w:lang w:val="en-US"/>
        </w:rPr>
      </w:pPr>
      <w:r w:rsidRPr="009C1DA5">
        <w:rPr>
          <w:rFonts w:eastAsia="MS Mincho"/>
          <w:noProof w:val="0"/>
          <w:color w:val="000000" w:themeColor="text1"/>
          <w:spacing w:val="-5"/>
          <w:lang w:val="en-US"/>
        </w:rPr>
        <w:t xml:space="preserve">Two articles chosen by the students on topics related to the contents of the course to be found in national and international scientific journals (Social Work and social policies), which will be indicated in class and on the </w:t>
      </w:r>
      <w:r>
        <w:rPr>
          <w:rFonts w:eastAsia="MS Mincho"/>
          <w:noProof w:val="0"/>
          <w:color w:val="000000" w:themeColor="text1"/>
          <w:spacing w:val="-5"/>
          <w:lang w:val="en-US"/>
        </w:rPr>
        <w:t>b</w:t>
      </w:r>
      <w:r w:rsidRPr="009C1DA5">
        <w:rPr>
          <w:rFonts w:eastAsia="MS Mincho"/>
          <w:noProof w:val="0"/>
          <w:color w:val="000000" w:themeColor="text1"/>
          <w:spacing w:val="-5"/>
          <w:lang w:val="en-US"/>
        </w:rPr>
        <w:t>lackboard</w:t>
      </w:r>
      <w:r>
        <w:rPr>
          <w:rFonts w:eastAsia="MS Mincho"/>
          <w:noProof w:val="0"/>
          <w:color w:val="000000" w:themeColor="text1"/>
          <w:spacing w:val="-5"/>
          <w:lang w:val="en-US"/>
        </w:rPr>
        <w:t xml:space="preserve"> </w:t>
      </w:r>
      <w:r w:rsidRPr="009C1DA5">
        <w:rPr>
          <w:rFonts w:eastAsia="MS Mincho"/>
          <w:noProof w:val="0"/>
          <w:color w:val="000000" w:themeColor="text1"/>
          <w:spacing w:val="-5"/>
          <w:lang w:val="en-US"/>
        </w:rPr>
        <w:t>course page.</w:t>
      </w:r>
    </w:p>
    <w:p w14:paraId="1DFCBF68" w14:textId="6F4A7E34" w:rsidR="007C3DCB" w:rsidRPr="00977CDD" w:rsidRDefault="00D4006D" w:rsidP="00A718FC">
      <w:pPr>
        <w:pStyle w:val="Testo1"/>
        <w:spacing w:before="0" w:line="240" w:lineRule="atLeast"/>
        <w:ind w:firstLine="0"/>
        <w:rPr>
          <w:rFonts w:eastAsia="MS Mincho"/>
          <w:noProof w:val="0"/>
          <w:color w:val="000000" w:themeColor="text1"/>
          <w:spacing w:val="-5"/>
          <w:lang w:val="en-US"/>
        </w:rPr>
      </w:pPr>
      <w:r w:rsidRPr="00977CDD">
        <w:rPr>
          <w:rFonts w:eastAsia="MS Mincho"/>
          <w:noProof w:val="0"/>
          <w:color w:val="000000" w:themeColor="text1"/>
          <w:spacing w:val="-5"/>
          <w:lang w:val="en-US"/>
        </w:rPr>
        <w:t xml:space="preserve">Further in-depth reading on single covered topics will be specified during lectures.   </w:t>
      </w:r>
    </w:p>
    <w:p w14:paraId="0447C6B6" w14:textId="77777777" w:rsidR="00A718FC" w:rsidRPr="00977CDD" w:rsidRDefault="00FE44A7" w:rsidP="00981465">
      <w:pPr>
        <w:pStyle w:val="Testo1"/>
        <w:spacing w:before="0" w:line="240" w:lineRule="atLeast"/>
        <w:ind w:left="0" w:firstLine="284"/>
        <w:rPr>
          <w:lang w:val="en-US"/>
        </w:rPr>
      </w:pPr>
      <w:r w:rsidRPr="00977CDD">
        <w:rPr>
          <w:rFonts w:eastAsia="MS Mincho"/>
          <w:noProof w:val="0"/>
          <w:color w:val="000000" w:themeColor="text1"/>
          <w:spacing w:val="-5"/>
          <w:lang w:val="en-US"/>
        </w:rPr>
        <w:t>Indications</w:t>
      </w:r>
      <w:r w:rsidR="00D4006D" w:rsidRPr="00977CDD">
        <w:rPr>
          <w:rFonts w:eastAsia="MS Mincho"/>
          <w:noProof w:val="0"/>
          <w:color w:val="000000" w:themeColor="text1"/>
          <w:spacing w:val="-5"/>
          <w:lang w:val="en-US"/>
        </w:rPr>
        <w:t xml:space="preserve"> on the use of the reading list for exam preparation will be provided during lectures and published on the course Blackboard</w:t>
      </w:r>
      <w:r w:rsidRPr="00977CDD">
        <w:rPr>
          <w:rFonts w:eastAsia="MS Mincho"/>
          <w:noProof w:val="0"/>
          <w:color w:val="000000" w:themeColor="text1"/>
          <w:spacing w:val="-5"/>
          <w:lang w:val="en-US"/>
        </w:rPr>
        <w:t xml:space="preserve"> page. </w:t>
      </w:r>
      <w:r w:rsidR="00D4006D" w:rsidRPr="00977CDD">
        <w:rPr>
          <w:rFonts w:eastAsia="MS Mincho"/>
          <w:noProof w:val="0"/>
          <w:color w:val="000000" w:themeColor="text1"/>
          <w:spacing w:val="-5"/>
          <w:lang w:val="en-US"/>
        </w:rPr>
        <w:t xml:space="preserve">The study of reading list material must be necessarily complemented </w:t>
      </w:r>
      <w:r w:rsidRPr="00977CDD">
        <w:rPr>
          <w:rFonts w:eastAsia="MS Mincho"/>
          <w:noProof w:val="0"/>
          <w:color w:val="000000" w:themeColor="text1"/>
          <w:spacing w:val="-5"/>
          <w:lang w:val="en-US"/>
        </w:rPr>
        <w:t xml:space="preserve">by lecture </w:t>
      </w:r>
      <w:r w:rsidR="00D4006D" w:rsidRPr="00977CDD">
        <w:rPr>
          <w:rFonts w:eastAsia="MS Mincho"/>
          <w:noProof w:val="0"/>
          <w:color w:val="000000" w:themeColor="text1"/>
          <w:spacing w:val="-5"/>
          <w:lang w:val="en-US"/>
        </w:rPr>
        <w:t xml:space="preserve">notes and the material presented and used during lectures.  </w:t>
      </w:r>
    </w:p>
    <w:p w14:paraId="509EE3FF" w14:textId="77777777" w:rsidR="00C64730" w:rsidRPr="00570AE9" w:rsidRDefault="00C64730" w:rsidP="00C64730">
      <w:pPr>
        <w:spacing w:before="240" w:after="120"/>
        <w:rPr>
          <w:b/>
          <w:i/>
          <w:sz w:val="18"/>
          <w:szCs w:val="18"/>
        </w:rPr>
      </w:pPr>
      <w:r w:rsidRPr="00570AE9">
        <w:rPr>
          <w:b/>
          <w:i/>
          <w:sz w:val="18"/>
          <w:szCs w:val="18"/>
        </w:rPr>
        <w:t>TEACHING METHOD</w:t>
      </w:r>
    </w:p>
    <w:p w14:paraId="7A9D8A18" w14:textId="77777777" w:rsidR="00C216F9" w:rsidRPr="00977CDD" w:rsidRDefault="00D4006D" w:rsidP="0032760B">
      <w:pPr>
        <w:pStyle w:val="Testo1"/>
        <w:spacing w:before="0" w:line="240" w:lineRule="atLeast"/>
        <w:ind w:left="0" w:firstLine="284"/>
        <w:rPr>
          <w:rFonts w:eastAsia="MS Mincho"/>
          <w:noProof w:val="0"/>
          <w:color w:val="000000" w:themeColor="text1"/>
          <w:spacing w:val="-5"/>
          <w:lang w:val="en-US"/>
        </w:rPr>
      </w:pPr>
      <w:r w:rsidRPr="00977CDD">
        <w:rPr>
          <w:rFonts w:eastAsia="MS Mincho"/>
          <w:noProof w:val="0"/>
          <w:color w:val="000000" w:themeColor="text1"/>
          <w:spacing w:val="-5"/>
          <w:lang w:val="en-US"/>
        </w:rPr>
        <w:t>In addition to lectures in the classroom, the Course will include small group work</w:t>
      </w:r>
      <w:r w:rsidR="006F1C1C" w:rsidRPr="00977CDD">
        <w:rPr>
          <w:rFonts w:eastAsia="MS Mincho"/>
          <w:noProof w:val="0"/>
          <w:color w:val="000000" w:themeColor="text1"/>
          <w:spacing w:val="-5"/>
          <w:lang w:val="en-US"/>
        </w:rPr>
        <w:t xml:space="preserve">, exercises and in-depth seminars on specific topics on the subject of social welfare policies. </w:t>
      </w:r>
    </w:p>
    <w:p w14:paraId="08C7C078" w14:textId="77777777" w:rsidR="00C64730" w:rsidRPr="00A0030D" w:rsidRDefault="00C64730" w:rsidP="00C64730">
      <w:pPr>
        <w:spacing w:before="240" w:after="120"/>
        <w:rPr>
          <w:b/>
          <w:i/>
          <w:sz w:val="18"/>
          <w:lang w:val="en-US"/>
        </w:rPr>
      </w:pPr>
      <w:r w:rsidRPr="00A0030D">
        <w:rPr>
          <w:b/>
          <w:i/>
          <w:sz w:val="18"/>
          <w:lang w:val="en-US"/>
        </w:rPr>
        <w:t>ASSESSMENT METHOD AND CRITERIA</w:t>
      </w:r>
    </w:p>
    <w:p w14:paraId="722F77E9" w14:textId="77777777" w:rsidR="00D32F93" w:rsidRPr="00977CDD" w:rsidRDefault="006F1C1C" w:rsidP="00D32F93">
      <w:pPr>
        <w:pStyle w:val="Testo2"/>
        <w:rPr>
          <w:lang w:val="en-US"/>
        </w:rPr>
      </w:pPr>
      <w:r w:rsidRPr="00977CDD">
        <w:rPr>
          <w:lang w:val="en-US"/>
        </w:rPr>
        <w:t>The exam will include</w:t>
      </w:r>
      <w:r w:rsidR="00FE44A7" w:rsidRPr="00977CDD">
        <w:rPr>
          <w:lang w:val="en-US"/>
        </w:rPr>
        <w:t xml:space="preserve"> </w:t>
      </w:r>
      <w:r w:rsidRPr="00977CDD">
        <w:rPr>
          <w:lang w:val="en-US"/>
        </w:rPr>
        <w:t xml:space="preserve">one written test and one oral test, both compulsory for students: </w:t>
      </w:r>
    </w:p>
    <w:p w14:paraId="221807F4" w14:textId="0F92E411" w:rsidR="00D32F93" w:rsidRPr="00977CDD" w:rsidRDefault="006F1C1C" w:rsidP="00E94A34">
      <w:pPr>
        <w:pStyle w:val="Testo2"/>
        <w:numPr>
          <w:ilvl w:val="0"/>
          <w:numId w:val="7"/>
        </w:numPr>
        <w:ind w:left="284" w:hanging="284"/>
        <w:rPr>
          <w:lang w:val="en-US"/>
        </w:rPr>
      </w:pPr>
      <w:r w:rsidRPr="00977CDD">
        <w:rPr>
          <w:lang w:val="en-US"/>
        </w:rPr>
        <w:t>Written test</w:t>
      </w:r>
      <w:r w:rsidR="00FB2FC4" w:rsidRPr="00977CDD">
        <w:rPr>
          <w:lang w:val="en-US"/>
        </w:rPr>
        <w:t xml:space="preserve">: </w:t>
      </w:r>
      <w:r w:rsidR="006C36D2" w:rsidRPr="00977CDD">
        <w:rPr>
          <w:lang w:val="en-US"/>
        </w:rPr>
        <w:t>consist</w:t>
      </w:r>
      <w:r w:rsidRPr="00977CDD">
        <w:rPr>
          <w:lang w:val="en-US"/>
        </w:rPr>
        <w:t xml:space="preserve">s in writing a </w:t>
      </w:r>
      <w:r w:rsidR="00D02847" w:rsidRPr="00D02847">
        <w:rPr>
          <w:lang w:val="en-US"/>
        </w:rPr>
        <w:t xml:space="preserve">theoretical study on a chosen topic and analysis of a policy and intervention planning project </w:t>
      </w:r>
      <w:r w:rsidR="00D02847">
        <w:rPr>
          <w:lang w:val="en-US"/>
        </w:rPr>
        <w:t xml:space="preserve">for the </w:t>
      </w:r>
      <w:r w:rsidRPr="00977CDD">
        <w:rPr>
          <w:lang w:val="en-US"/>
        </w:rPr>
        <w:t>social welfare policies and interventions</w:t>
      </w:r>
      <w:r w:rsidR="00D02847">
        <w:rPr>
          <w:lang w:val="en-US"/>
        </w:rPr>
        <w:t xml:space="preserve"> selected</w:t>
      </w:r>
      <w:r w:rsidRPr="00977CDD">
        <w:rPr>
          <w:lang w:val="en-US"/>
        </w:rPr>
        <w:t>.</w:t>
      </w:r>
      <w:r w:rsidR="00FE44A7" w:rsidRPr="00977CDD">
        <w:rPr>
          <w:lang w:val="en-US"/>
        </w:rPr>
        <w:t xml:space="preserve"> </w:t>
      </w:r>
      <w:r w:rsidRPr="00977CDD">
        <w:rPr>
          <w:lang w:val="en-US"/>
        </w:rPr>
        <w:t xml:space="preserve">In order to take the oral test, students must have passed the written test; </w:t>
      </w:r>
    </w:p>
    <w:p w14:paraId="0EF5DB1C" w14:textId="77777777" w:rsidR="00D32F93" w:rsidRPr="00977CDD" w:rsidRDefault="006F1C1C" w:rsidP="00E94A34">
      <w:pPr>
        <w:pStyle w:val="Testo2"/>
        <w:numPr>
          <w:ilvl w:val="0"/>
          <w:numId w:val="7"/>
        </w:numPr>
        <w:ind w:left="284" w:hanging="284"/>
        <w:rPr>
          <w:lang w:val="en-US"/>
        </w:rPr>
      </w:pPr>
      <w:r w:rsidRPr="00977CDD">
        <w:rPr>
          <w:lang w:val="en-US"/>
        </w:rPr>
        <w:t>Oral test</w:t>
      </w:r>
      <w:r w:rsidR="00F124AF" w:rsidRPr="00977CDD">
        <w:rPr>
          <w:lang w:val="en-US"/>
        </w:rPr>
        <w:t xml:space="preserve">: </w:t>
      </w:r>
      <w:r w:rsidR="006C36D2" w:rsidRPr="00977CDD">
        <w:rPr>
          <w:lang w:val="en-US"/>
        </w:rPr>
        <w:t>consist</w:t>
      </w:r>
      <w:r w:rsidRPr="00977CDD">
        <w:rPr>
          <w:lang w:val="en-US"/>
        </w:rPr>
        <w:t xml:space="preserve"> in an </w:t>
      </w:r>
      <w:r w:rsidR="00AD3D0A" w:rsidRPr="00977CDD">
        <w:rPr>
          <w:lang w:val="en-US"/>
        </w:rPr>
        <w:t>interview</w:t>
      </w:r>
      <w:r w:rsidR="00AF296E" w:rsidRPr="00977CDD">
        <w:rPr>
          <w:lang w:val="en-US"/>
        </w:rPr>
        <w:t xml:space="preserve"> aimed at discussing the paper prepared by s</w:t>
      </w:r>
      <w:r w:rsidR="00FE44A7" w:rsidRPr="00977CDD">
        <w:rPr>
          <w:lang w:val="en-US"/>
        </w:rPr>
        <w:t xml:space="preserve">tudents and assessing the </w:t>
      </w:r>
      <w:r w:rsidR="00AF296E" w:rsidRPr="00977CDD">
        <w:rPr>
          <w:lang w:val="en-US"/>
        </w:rPr>
        <w:t>level of</w:t>
      </w:r>
      <w:r w:rsidR="0064642D" w:rsidRPr="00977CDD">
        <w:rPr>
          <w:lang w:val="en-US"/>
        </w:rPr>
        <w:t xml:space="preserve"> understanding </w:t>
      </w:r>
      <w:r w:rsidR="00087E70" w:rsidRPr="00977CDD">
        <w:rPr>
          <w:lang w:val="en-US"/>
        </w:rPr>
        <w:t xml:space="preserve">and </w:t>
      </w:r>
      <w:r w:rsidR="0064642D" w:rsidRPr="00977CDD">
        <w:rPr>
          <w:lang w:val="en-US"/>
        </w:rPr>
        <w:t xml:space="preserve">grasp of </w:t>
      </w:r>
      <w:r w:rsidR="00087E70" w:rsidRPr="00977CDD">
        <w:rPr>
          <w:lang w:val="en-US"/>
        </w:rPr>
        <w:t>the main concepts pertaining to the social welfar</w:t>
      </w:r>
      <w:r w:rsidR="0064642D" w:rsidRPr="00977CDD">
        <w:rPr>
          <w:lang w:val="en-US"/>
        </w:rPr>
        <w:t xml:space="preserve">e policies presented during </w:t>
      </w:r>
      <w:r w:rsidR="00087E70" w:rsidRPr="00977CDD">
        <w:rPr>
          <w:lang w:val="en-US"/>
        </w:rPr>
        <w:t>lectures and contained in the reading list material specified in the programme, as well as</w:t>
      </w:r>
      <w:r w:rsidR="0064642D" w:rsidRPr="00977CDD">
        <w:rPr>
          <w:lang w:val="en-US"/>
        </w:rPr>
        <w:t xml:space="preserve"> in the supplementary</w:t>
      </w:r>
      <w:r w:rsidR="00087E70" w:rsidRPr="00977CDD">
        <w:rPr>
          <w:lang w:val="en-US"/>
        </w:rPr>
        <w:t xml:space="preserve"> ma</w:t>
      </w:r>
      <w:r w:rsidR="0064642D" w:rsidRPr="00977CDD">
        <w:rPr>
          <w:lang w:val="en-US"/>
        </w:rPr>
        <w:t>terial published on the Blackbo</w:t>
      </w:r>
      <w:r w:rsidR="00087E70" w:rsidRPr="00977CDD">
        <w:rPr>
          <w:lang w:val="en-US"/>
        </w:rPr>
        <w:t>a</w:t>
      </w:r>
      <w:r w:rsidR="0064642D" w:rsidRPr="00977CDD">
        <w:rPr>
          <w:lang w:val="en-US"/>
        </w:rPr>
        <w:t>r</w:t>
      </w:r>
      <w:r w:rsidR="00087E70" w:rsidRPr="00977CDD">
        <w:rPr>
          <w:lang w:val="en-US"/>
        </w:rPr>
        <w:t xml:space="preserve">d platform.  </w:t>
      </w:r>
      <w:r w:rsidR="00AF296E" w:rsidRPr="00977CDD">
        <w:rPr>
          <w:lang w:val="en-US"/>
        </w:rPr>
        <w:t xml:space="preserve">   </w:t>
      </w:r>
      <w:r w:rsidR="006C36D2" w:rsidRPr="00977CDD">
        <w:rPr>
          <w:lang w:val="en-US"/>
        </w:rPr>
        <w:t xml:space="preserve"> </w:t>
      </w:r>
    </w:p>
    <w:p w14:paraId="08E36EE2" w14:textId="77777777" w:rsidR="00D32F93" w:rsidRPr="00977CDD" w:rsidRDefault="00D32F93" w:rsidP="00C216F9">
      <w:pPr>
        <w:pStyle w:val="Testo2"/>
        <w:rPr>
          <w:lang w:val="en-US"/>
        </w:rPr>
      </w:pPr>
    </w:p>
    <w:p w14:paraId="18217FF0" w14:textId="77777777" w:rsidR="00D32F93" w:rsidRPr="00977CDD" w:rsidRDefault="00CD65CF" w:rsidP="00C216F9">
      <w:pPr>
        <w:pStyle w:val="Testo2"/>
        <w:rPr>
          <w:lang w:val="en-US"/>
        </w:rPr>
      </w:pPr>
      <w:r w:rsidRPr="00977CDD">
        <w:rPr>
          <w:lang w:val="en-US"/>
        </w:rPr>
        <w:t xml:space="preserve">Students will pass the exam only if they get at least a pass mark </w:t>
      </w:r>
      <w:r w:rsidR="00FB2FC4" w:rsidRPr="00977CDD">
        <w:rPr>
          <w:lang w:val="en-US"/>
        </w:rPr>
        <w:t xml:space="preserve">(18/30) </w:t>
      </w:r>
      <w:r w:rsidRPr="00977CDD">
        <w:rPr>
          <w:lang w:val="en-US"/>
        </w:rPr>
        <w:t>and the final mark</w:t>
      </w:r>
      <w:r w:rsidR="00FB2FC4" w:rsidRPr="00977CDD">
        <w:rPr>
          <w:lang w:val="en-US"/>
        </w:rPr>
        <w:t>, e</w:t>
      </w:r>
      <w:r w:rsidRPr="00977CDD">
        <w:rPr>
          <w:lang w:val="en-US"/>
        </w:rPr>
        <w:t>xpressed out of thirty</w:t>
      </w:r>
      <w:r w:rsidR="00FB2FC4" w:rsidRPr="00977CDD">
        <w:rPr>
          <w:lang w:val="en-US"/>
        </w:rPr>
        <w:t xml:space="preserve">, </w:t>
      </w:r>
      <w:r w:rsidRPr="00977CDD">
        <w:rPr>
          <w:lang w:val="en-US"/>
        </w:rPr>
        <w:t xml:space="preserve">will be decided taking into consideration the marks obtained in the two tests. </w:t>
      </w:r>
    </w:p>
    <w:p w14:paraId="5835D7A1" w14:textId="77777777" w:rsidR="00D32F93" w:rsidRPr="00977CDD" w:rsidRDefault="000D63FB" w:rsidP="00C216F9">
      <w:pPr>
        <w:pStyle w:val="Testo2"/>
        <w:rPr>
          <w:lang w:val="en-US"/>
        </w:rPr>
      </w:pPr>
      <w:r w:rsidRPr="00977CDD">
        <w:rPr>
          <w:lang w:val="en-US"/>
        </w:rPr>
        <w:t xml:space="preserve">The final assessment will be based on </w:t>
      </w:r>
      <w:r w:rsidR="000C04B8" w:rsidRPr="00977CDD">
        <w:rPr>
          <w:lang w:val="en-US"/>
        </w:rPr>
        <w:t xml:space="preserve">students’ level of knowledge, grasp of the concepts, the ability to analyse social welfare policies, proficiency in the use of an appropriate disciplinary lexicon, logical and critical reasoning skills. </w:t>
      </w:r>
    </w:p>
    <w:p w14:paraId="249E133B" w14:textId="77777777" w:rsidR="00A95C60" w:rsidRPr="0064642D" w:rsidRDefault="00C64730" w:rsidP="0064642D">
      <w:pPr>
        <w:spacing w:before="240" w:after="120"/>
        <w:rPr>
          <w:b/>
          <w:i/>
          <w:sz w:val="18"/>
          <w:lang w:val="en-US"/>
        </w:rPr>
      </w:pPr>
      <w:r w:rsidRPr="004004BC">
        <w:rPr>
          <w:b/>
          <w:i/>
          <w:sz w:val="18"/>
          <w:lang w:val="en-US"/>
        </w:rPr>
        <w:t>NOTES AND PREREQUISITES</w:t>
      </w:r>
    </w:p>
    <w:p w14:paraId="49AABAE3" w14:textId="77777777" w:rsidR="00221FDD" w:rsidRPr="00977CDD" w:rsidRDefault="00221FDD" w:rsidP="0032760B">
      <w:pPr>
        <w:pStyle w:val="Testo2"/>
        <w:rPr>
          <w:lang w:val="en-US"/>
        </w:rPr>
      </w:pPr>
    </w:p>
    <w:p w14:paraId="35D08090" w14:textId="77777777" w:rsidR="00221FDD" w:rsidRPr="00BF390B" w:rsidRDefault="00221FDD" w:rsidP="00221FDD">
      <w:pPr>
        <w:pStyle w:val="Testo2"/>
        <w:rPr>
          <w:i/>
          <w:noProof w:val="0"/>
          <w:lang w:val="en-GB"/>
        </w:rPr>
      </w:pPr>
      <w:r w:rsidRPr="000810CB">
        <w:rPr>
          <w:i/>
          <w:lang w:val="en-US"/>
        </w:rPr>
        <w:t xml:space="preserve">Further information can be found on the lecturer’s webpage at http://docenti.unicatt.it/web/searchByName.do?language=ENGor on the Faculty notice board. </w:t>
      </w:r>
    </w:p>
    <w:p w14:paraId="1AE0F5F2" w14:textId="77777777" w:rsidR="00221FDD" w:rsidRPr="00977CDD" w:rsidRDefault="00221FDD" w:rsidP="0032760B">
      <w:pPr>
        <w:pStyle w:val="Testo2"/>
        <w:rPr>
          <w:lang w:val="en-US"/>
        </w:rPr>
      </w:pPr>
    </w:p>
    <w:sectPr w:rsidR="00221FDD" w:rsidRPr="00977CD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B90"/>
    <w:multiLevelType w:val="hybridMultilevel"/>
    <w:tmpl w:val="813AF11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B2A6EFF"/>
    <w:multiLevelType w:val="hybridMultilevel"/>
    <w:tmpl w:val="413E40C6"/>
    <w:lvl w:ilvl="0" w:tplc="1B4229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4DCE2C5D"/>
    <w:multiLevelType w:val="hybridMultilevel"/>
    <w:tmpl w:val="BF824E84"/>
    <w:lvl w:ilvl="0" w:tplc="3794705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533B41F8"/>
    <w:multiLevelType w:val="hybridMultilevel"/>
    <w:tmpl w:val="ECECBD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490A71"/>
    <w:multiLevelType w:val="hybridMultilevel"/>
    <w:tmpl w:val="E45C494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E2C1B8C"/>
    <w:multiLevelType w:val="hybridMultilevel"/>
    <w:tmpl w:val="3E304064"/>
    <w:lvl w:ilvl="0" w:tplc="67CEB4EC">
      <w:start w:val="1"/>
      <w:numFmt w:val="bullet"/>
      <w:lvlText w:val="-"/>
      <w:lvlJc w:val="left"/>
      <w:pPr>
        <w:ind w:left="0" w:hanging="360"/>
      </w:pPr>
      <w:rPr>
        <w:rFonts w:ascii="Times" w:eastAsia="Times New Roman" w:hAnsi="Times" w:cs="Time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6" w15:restartNumberingAfterBreak="0">
    <w:nsid w:val="5EF235AD"/>
    <w:multiLevelType w:val="hybridMultilevel"/>
    <w:tmpl w:val="966E8DF0"/>
    <w:lvl w:ilvl="0" w:tplc="584E3F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536963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7160863">
    <w:abstractNumId w:val="6"/>
  </w:num>
  <w:num w:numId="3" w16cid:durableId="1706714505">
    <w:abstractNumId w:val="3"/>
  </w:num>
  <w:num w:numId="4" w16cid:durableId="1621376909">
    <w:abstractNumId w:val="0"/>
  </w:num>
  <w:num w:numId="5" w16cid:durableId="1706365440">
    <w:abstractNumId w:val="5"/>
  </w:num>
  <w:num w:numId="6" w16cid:durableId="696387530">
    <w:abstractNumId w:val="2"/>
  </w:num>
  <w:num w:numId="7" w16cid:durableId="210116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F9"/>
    <w:rsid w:val="000457DA"/>
    <w:rsid w:val="00087E70"/>
    <w:rsid w:val="000C04B8"/>
    <w:rsid w:val="000D4A1E"/>
    <w:rsid w:val="000D63FB"/>
    <w:rsid w:val="00141311"/>
    <w:rsid w:val="00187B99"/>
    <w:rsid w:val="001F5122"/>
    <w:rsid w:val="002014DD"/>
    <w:rsid w:val="00207A6E"/>
    <w:rsid w:val="00221FDD"/>
    <w:rsid w:val="00225CBF"/>
    <w:rsid w:val="0025007D"/>
    <w:rsid w:val="002D5E17"/>
    <w:rsid w:val="00323261"/>
    <w:rsid w:val="00325D04"/>
    <w:rsid w:val="0032760B"/>
    <w:rsid w:val="00373565"/>
    <w:rsid w:val="003D6AB8"/>
    <w:rsid w:val="003F1CC4"/>
    <w:rsid w:val="0040566A"/>
    <w:rsid w:val="004550A5"/>
    <w:rsid w:val="004A0894"/>
    <w:rsid w:val="004A3A6D"/>
    <w:rsid w:val="004A6E6E"/>
    <w:rsid w:val="004B035D"/>
    <w:rsid w:val="004D1217"/>
    <w:rsid w:val="004D5856"/>
    <w:rsid w:val="004D6008"/>
    <w:rsid w:val="00504172"/>
    <w:rsid w:val="00524F02"/>
    <w:rsid w:val="00534099"/>
    <w:rsid w:val="0057420F"/>
    <w:rsid w:val="005E2EF1"/>
    <w:rsid w:val="00640794"/>
    <w:rsid w:val="0064642D"/>
    <w:rsid w:val="006C36D2"/>
    <w:rsid w:val="006F1772"/>
    <w:rsid w:val="006F1C1C"/>
    <w:rsid w:val="006F3216"/>
    <w:rsid w:val="00713CD4"/>
    <w:rsid w:val="0076743E"/>
    <w:rsid w:val="007C3DCB"/>
    <w:rsid w:val="007C3E49"/>
    <w:rsid w:val="00825F28"/>
    <w:rsid w:val="0087299C"/>
    <w:rsid w:val="008942E7"/>
    <w:rsid w:val="008A1204"/>
    <w:rsid w:val="008C614F"/>
    <w:rsid w:val="00900CCA"/>
    <w:rsid w:val="009038F2"/>
    <w:rsid w:val="00924B77"/>
    <w:rsid w:val="009408E6"/>
    <w:rsid w:val="00940DA2"/>
    <w:rsid w:val="00977CDD"/>
    <w:rsid w:val="00981465"/>
    <w:rsid w:val="00981B1B"/>
    <w:rsid w:val="00984867"/>
    <w:rsid w:val="009A18FF"/>
    <w:rsid w:val="009A3970"/>
    <w:rsid w:val="009A649F"/>
    <w:rsid w:val="009B47CA"/>
    <w:rsid w:val="009C1DA5"/>
    <w:rsid w:val="009E055C"/>
    <w:rsid w:val="00A06B24"/>
    <w:rsid w:val="00A4451D"/>
    <w:rsid w:val="00A45979"/>
    <w:rsid w:val="00A63A85"/>
    <w:rsid w:val="00A718FC"/>
    <w:rsid w:val="00A74F6F"/>
    <w:rsid w:val="00A87319"/>
    <w:rsid w:val="00A95C60"/>
    <w:rsid w:val="00AD3D0A"/>
    <w:rsid w:val="00AD7557"/>
    <w:rsid w:val="00AF263B"/>
    <w:rsid w:val="00AF296E"/>
    <w:rsid w:val="00B50C5D"/>
    <w:rsid w:val="00B51253"/>
    <w:rsid w:val="00B525CC"/>
    <w:rsid w:val="00B933E9"/>
    <w:rsid w:val="00B94475"/>
    <w:rsid w:val="00BA1458"/>
    <w:rsid w:val="00BF749D"/>
    <w:rsid w:val="00C02F58"/>
    <w:rsid w:val="00C216F9"/>
    <w:rsid w:val="00C64730"/>
    <w:rsid w:val="00CC4FFF"/>
    <w:rsid w:val="00CD65CF"/>
    <w:rsid w:val="00D02847"/>
    <w:rsid w:val="00D119B0"/>
    <w:rsid w:val="00D123D5"/>
    <w:rsid w:val="00D32F93"/>
    <w:rsid w:val="00D4006D"/>
    <w:rsid w:val="00D404F2"/>
    <w:rsid w:val="00D56485"/>
    <w:rsid w:val="00D86C7A"/>
    <w:rsid w:val="00D97515"/>
    <w:rsid w:val="00DA4C3D"/>
    <w:rsid w:val="00E607E6"/>
    <w:rsid w:val="00E9170C"/>
    <w:rsid w:val="00E94A34"/>
    <w:rsid w:val="00EA1409"/>
    <w:rsid w:val="00EB61E5"/>
    <w:rsid w:val="00ED4CCC"/>
    <w:rsid w:val="00EF63FA"/>
    <w:rsid w:val="00F101BB"/>
    <w:rsid w:val="00F124AF"/>
    <w:rsid w:val="00F230D2"/>
    <w:rsid w:val="00F37326"/>
    <w:rsid w:val="00F501CC"/>
    <w:rsid w:val="00F653AD"/>
    <w:rsid w:val="00F80EF4"/>
    <w:rsid w:val="00FA3EB1"/>
    <w:rsid w:val="00FB2FC4"/>
    <w:rsid w:val="00FE44A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65920"/>
  <w15:docId w15:val="{F20D0494-C189-E34D-94FF-1EF61D7C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lang w:val="en-GB"/>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216F9"/>
    <w:pPr>
      <w:spacing w:line="240" w:lineRule="exact"/>
      <w:ind w:left="720"/>
      <w:contextualSpacing/>
    </w:pPr>
  </w:style>
  <w:style w:type="character" w:styleId="Collegamentoipertestuale">
    <w:name w:val="Hyperlink"/>
    <w:basedOn w:val="Carpredefinitoparagrafo"/>
    <w:unhideWhenUsed/>
    <w:rsid w:val="00C216F9"/>
    <w:rPr>
      <w:color w:val="0563C1" w:themeColor="hyperlink"/>
      <w:u w:val="single"/>
    </w:rPr>
  </w:style>
  <w:style w:type="character" w:customStyle="1" w:styleId="Testo2Carattere">
    <w:name w:val="Testo 2 Carattere"/>
    <w:basedOn w:val="Carpredefinitoparagrafo"/>
    <w:link w:val="Testo2"/>
    <w:rsid w:val="00C216F9"/>
    <w:rPr>
      <w:rFonts w:ascii="Times" w:hAnsi="Times"/>
      <w:noProof/>
      <w:sz w:val="18"/>
    </w:rPr>
  </w:style>
  <w:style w:type="character" w:customStyle="1" w:styleId="apple-converted-space">
    <w:name w:val="apple-converted-space"/>
    <w:basedOn w:val="Carpredefinitoparagrafo"/>
    <w:rsid w:val="00C216F9"/>
  </w:style>
  <w:style w:type="paragraph" w:styleId="Testonormale">
    <w:name w:val="Plain Text"/>
    <w:basedOn w:val="Normale"/>
    <w:link w:val="TestonormaleCarattere"/>
    <w:uiPriority w:val="99"/>
    <w:semiHidden/>
    <w:unhideWhenUsed/>
    <w:rsid w:val="00D56485"/>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D56485"/>
    <w:rPr>
      <w:rFonts w:ascii="Calibri" w:eastAsiaTheme="minorHAnsi" w:hAnsi="Calibri" w:cstheme="minorBidi"/>
      <w:sz w:val="22"/>
      <w:szCs w:val="21"/>
      <w:lang w:eastAsia="en-US"/>
    </w:rPr>
  </w:style>
  <w:style w:type="character" w:customStyle="1" w:styleId="Menzionenonrisolta1">
    <w:name w:val="Menzione non risolta1"/>
    <w:basedOn w:val="Carpredefinitoparagrafo"/>
    <w:uiPriority w:val="99"/>
    <w:semiHidden/>
    <w:unhideWhenUsed/>
    <w:rsid w:val="00A718FC"/>
    <w:rPr>
      <w:color w:val="605E5C"/>
      <w:shd w:val="clear" w:color="auto" w:fill="E1DFDD"/>
    </w:rPr>
  </w:style>
  <w:style w:type="paragraph" w:styleId="Testofumetto">
    <w:name w:val="Balloon Text"/>
    <w:basedOn w:val="Normale"/>
    <w:link w:val="TestofumettoCarattere"/>
    <w:semiHidden/>
    <w:unhideWhenUsed/>
    <w:rsid w:val="00D4006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D40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0261">
      <w:bodyDiv w:val="1"/>
      <w:marLeft w:val="0"/>
      <w:marRight w:val="0"/>
      <w:marTop w:val="0"/>
      <w:marBottom w:val="0"/>
      <w:divBdr>
        <w:top w:val="none" w:sz="0" w:space="0" w:color="auto"/>
        <w:left w:val="none" w:sz="0" w:space="0" w:color="auto"/>
        <w:bottom w:val="none" w:sz="0" w:space="0" w:color="auto"/>
        <w:right w:val="none" w:sz="0" w:space="0" w:color="auto"/>
      </w:divBdr>
    </w:div>
    <w:div w:id="18651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F9F0-A9FE-45B7-8467-E064F32E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Minessi Andrea</cp:lastModifiedBy>
  <cp:revision>4</cp:revision>
  <cp:lastPrinted>2003-03-27T10:42:00Z</cp:lastPrinted>
  <dcterms:created xsi:type="dcterms:W3CDTF">2024-01-17T14:04:00Z</dcterms:created>
  <dcterms:modified xsi:type="dcterms:W3CDTF">2024-03-29T14:56:00Z</dcterms:modified>
</cp:coreProperties>
</file>