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EF404" w14:textId="3BC0FB51" w:rsidR="00AA16D8" w:rsidRPr="006B306B" w:rsidRDefault="00446CE2">
      <w:pPr>
        <w:pStyle w:val="Titolo1"/>
        <w:rPr>
          <w:noProof w:val="0"/>
        </w:rPr>
      </w:pPr>
      <w:r w:rsidRPr="006B306B">
        <w:rPr>
          <w:noProof w:val="0"/>
        </w:rPr>
        <w:t xml:space="preserve">European Union </w:t>
      </w:r>
      <w:r w:rsidR="008E25E3" w:rsidRPr="006B306B">
        <w:rPr>
          <w:noProof w:val="0"/>
        </w:rPr>
        <w:t>L</w:t>
      </w:r>
      <w:r w:rsidRPr="006B306B">
        <w:rPr>
          <w:noProof w:val="0"/>
        </w:rPr>
        <w:t>aw</w:t>
      </w:r>
    </w:p>
    <w:p w14:paraId="5F33FDD1" w14:textId="46A63FA3" w:rsidR="00AA16D8" w:rsidRPr="006B306B" w:rsidRDefault="00446CE2">
      <w:pPr>
        <w:pStyle w:val="Titolo2"/>
        <w:rPr>
          <w:noProof w:val="0"/>
        </w:rPr>
      </w:pPr>
      <w:r w:rsidRPr="006B306B">
        <w:rPr>
          <w:noProof w:val="0"/>
        </w:rPr>
        <w:t xml:space="preserve">Prof. </w:t>
      </w:r>
      <w:r w:rsidR="003C68AA">
        <w:rPr>
          <w:noProof w:val="0"/>
        </w:rPr>
        <w:t>Luca Lionello</w:t>
      </w:r>
    </w:p>
    <w:p w14:paraId="39DAC320" w14:textId="26CBF1FB" w:rsidR="00730CF7" w:rsidRPr="006B306B" w:rsidRDefault="00730CF7" w:rsidP="00730CF7">
      <w:pPr>
        <w:tabs>
          <w:tab w:val="left" w:pos="284"/>
        </w:tabs>
        <w:spacing w:before="240" w:after="120"/>
        <w:rPr>
          <w:rFonts w:eastAsia="Times New Roman"/>
          <w:b/>
          <w:i/>
          <w:sz w:val="18"/>
          <w:lang w:val="en-US"/>
        </w:rPr>
      </w:pPr>
      <w:r w:rsidRPr="006B306B">
        <w:rPr>
          <w:rFonts w:eastAsia="Times New Roman"/>
          <w:b/>
          <w:i/>
          <w:sz w:val="18"/>
          <w:lang w:val="en-US"/>
        </w:rPr>
        <w:t xml:space="preserve">COURSE AIMS AND INTENDED LEARNING OUTCOMES </w:t>
      </w:r>
    </w:p>
    <w:p w14:paraId="187C7679" w14:textId="20F97AAD" w:rsidR="00054B9E" w:rsidRPr="006B306B" w:rsidRDefault="00446CE2" w:rsidP="00054B9E">
      <w:r w:rsidRPr="006B306B">
        <w:t xml:space="preserve">The course aims to provide </w:t>
      </w:r>
      <w:r w:rsidR="003715EC">
        <w:t xml:space="preserve">students with </w:t>
      </w:r>
      <w:r w:rsidRPr="006B306B">
        <w:t>specialised knowledge</w:t>
      </w:r>
      <w:r w:rsidR="003715EC">
        <w:t xml:space="preserve"> </w:t>
      </w:r>
      <w:r w:rsidRPr="006B306B">
        <w:t xml:space="preserve">of European Union law. </w:t>
      </w:r>
      <w:r w:rsidRPr="006B306B">
        <w:rPr>
          <w:color w:val="000000"/>
          <w:shd w:val="clear" w:color="auto" w:fill="FFFFFF"/>
        </w:rPr>
        <w:t>After having illustrated the origins and developments of the European integration process,</w:t>
      </w:r>
      <w:r w:rsidR="003715EC">
        <w:rPr>
          <w:color w:val="000000"/>
          <w:shd w:val="clear" w:color="auto" w:fill="FFFFFF"/>
        </w:rPr>
        <w:t xml:space="preserve"> the course will explain</w:t>
      </w:r>
      <w:r w:rsidRPr="006B306B">
        <w:rPr>
          <w:color w:val="000000"/>
          <w:shd w:val="clear" w:color="auto" w:fill="FFFFFF"/>
        </w:rPr>
        <w:t xml:space="preserve"> the </w:t>
      </w:r>
      <w:r w:rsidR="003715EC">
        <w:rPr>
          <w:color w:val="000000"/>
          <w:shd w:val="clear" w:color="auto" w:fill="FFFFFF"/>
        </w:rPr>
        <w:t xml:space="preserve">objectives of the Union, its </w:t>
      </w:r>
      <w:r w:rsidRPr="006B306B">
        <w:rPr>
          <w:color w:val="000000"/>
          <w:shd w:val="clear" w:color="auto" w:fill="FFFFFF"/>
        </w:rPr>
        <w:t xml:space="preserve">institutional </w:t>
      </w:r>
      <w:r w:rsidR="003715EC">
        <w:rPr>
          <w:color w:val="000000"/>
          <w:shd w:val="clear" w:color="auto" w:fill="FFFFFF"/>
        </w:rPr>
        <w:t xml:space="preserve">framework,  </w:t>
      </w:r>
      <w:r w:rsidRPr="006B306B">
        <w:rPr>
          <w:color w:val="000000"/>
          <w:shd w:val="clear" w:color="auto" w:fill="FFFFFF"/>
        </w:rPr>
        <w:t>its</w:t>
      </w:r>
      <w:r w:rsidR="003715EC">
        <w:rPr>
          <w:color w:val="000000"/>
          <w:shd w:val="clear" w:color="auto" w:fill="FFFFFF"/>
        </w:rPr>
        <w:t xml:space="preserve"> main functions and</w:t>
      </w:r>
      <w:r w:rsidRPr="006B306B">
        <w:rPr>
          <w:color w:val="000000"/>
          <w:shd w:val="clear" w:color="auto" w:fill="FFFFFF"/>
        </w:rPr>
        <w:t xml:space="preserve"> areas of competence</w:t>
      </w:r>
      <w:r w:rsidR="003715EC">
        <w:rPr>
          <w:color w:val="000000"/>
          <w:shd w:val="clear" w:color="auto" w:fill="FFFFFF"/>
        </w:rPr>
        <w:t xml:space="preserve">, </w:t>
      </w:r>
      <w:r w:rsidR="00337DB0">
        <w:rPr>
          <w:color w:val="000000"/>
          <w:shd w:val="clear" w:color="auto" w:fill="FFFFFF"/>
        </w:rPr>
        <w:t xml:space="preserve">the sources of EU law, </w:t>
      </w:r>
      <w:r w:rsidR="003715EC">
        <w:rPr>
          <w:color w:val="000000"/>
          <w:shd w:val="clear" w:color="auto" w:fill="FFFFFF"/>
        </w:rPr>
        <w:t>as well as the relationship between the European and the national legal system</w:t>
      </w:r>
      <w:r w:rsidR="00337DB0">
        <w:rPr>
          <w:color w:val="000000"/>
          <w:shd w:val="clear" w:color="auto" w:fill="FFFFFF"/>
        </w:rPr>
        <w:t>s</w:t>
      </w:r>
      <w:r w:rsidR="003715EC">
        <w:rPr>
          <w:color w:val="000000"/>
          <w:shd w:val="clear" w:color="auto" w:fill="FFFFFF"/>
        </w:rPr>
        <w:t xml:space="preserve">. </w:t>
      </w:r>
    </w:p>
    <w:p w14:paraId="79D9BD3F" w14:textId="77777777" w:rsidR="004D05F7" w:rsidRPr="006B306B" w:rsidRDefault="004D05F7" w:rsidP="00054B9E"/>
    <w:p w14:paraId="313E0A0E" w14:textId="77777777" w:rsidR="005A5DBB" w:rsidRPr="006B306B" w:rsidRDefault="004D05F7" w:rsidP="004D05F7">
      <w:pPr>
        <w:pStyle w:val="CorpoA"/>
        <w:rPr>
          <w:i/>
          <w:color w:val="auto"/>
          <w:lang w:val="en-GB"/>
        </w:rPr>
      </w:pPr>
      <w:r w:rsidRPr="006B306B">
        <w:rPr>
          <w:i/>
          <w:color w:val="auto"/>
          <w:lang w:val="en-GB"/>
        </w:rPr>
        <w:t>Intended learning outcomes</w:t>
      </w:r>
    </w:p>
    <w:p w14:paraId="341491C7" w14:textId="77777777" w:rsidR="00780E5D" w:rsidRPr="006B306B" w:rsidRDefault="00780E5D" w:rsidP="00054B9E">
      <w:pPr>
        <w:rPr>
          <w:sz w:val="16"/>
          <w:lang w:val="en-US"/>
        </w:rPr>
      </w:pPr>
      <w:r w:rsidRPr="006B306B">
        <w:rPr>
          <w:sz w:val="16"/>
          <w:lang w:val="en-US"/>
        </w:rPr>
        <w:t>KNOWLEDGE AND UNDERSTANDING</w:t>
      </w:r>
    </w:p>
    <w:p w14:paraId="14295F34" w14:textId="769C0382" w:rsidR="00054B9E" w:rsidRPr="006B306B" w:rsidRDefault="00780E5D" w:rsidP="002F5BCB">
      <w:r w:rsidRPr="006B306B">
        <w:t xml:space="preserve">At the end of the course, students will be able to understand the </w:t>
      </w:r>
      <w:r w:rsidR="00337DB0">
        <w:t>main features of the EU legal order</w:t>
      </w:r>
      <w:r w:rsidRPr="006B306B">
        <w:t xml:space="preserve">, its institutional architecture and the dynamics at the basis of the integration process, with a focus on the tension between the </w:t>
      </w:r>
      <w:r w:rsidR="002F5BCB" w:rsidRPr="006B306B">
        <w:t xml:space="preserve">supranational and the intergovernmental </w:t>
      </w:r>
      <w:r w:rsidR="003715EC">
        <w:t>dimensions o</w:t>
      </w:r>
      <w:r w:rsidR="00337DB0">
        <w:t>f the organisation</w:t>
      </w:r>
      <w:r w:rsidR="002F5BCB" w:rsidRPr="006B306B">
        <w:t xml:space="preserve">. Furthermore, students will be able to describe the characteristics and the sources of </w:t>
      </w:r>
      <w:r w:rsidR="00337DB0">
        <w:t>EU law</w:t>
      </w:r>
      <w:r w:rsidR="002F5BCB" w:rsidRPr="006B306B">
        <w:t xml:space="preserve">, and its relationship with national laws. Finally, they will be able to </w:t>
      </w:r>
      <w:r w:rsidR="003715EC">
        <w:t>understand some of the most topical issues of EU</w:t>
      </w:r>
      <w:r w:rsidR="00337DB0">
        <w:t xml:space="preserve"> law,</w:t>
      </w:r>
      <w:r w:rsidR="003715EC">
        <w:t xml:space="preserve"> such as the single market, the economic and monetary union and EU citizenshi</w:t>
      </w:r>
      <w:r w:rsidR="00337DB0">
        <w:t>p</w:t>
      </w:r>
      <w:r w:rsidR="002F5BCB" w:rsidRPr="006B306B">
        <w:t>.</w:t>
      </w:r>
      <w:r w:rsidR="00054B9E" w:rsidRPr="006B306B">
        <w:t xml:space="preserve"> </w:t>
      </w:r>
    </w:p>
    <w:p w14:paraId="1236148D" w14:textId="77777777" w:rsidR="00054B9E" w:rsidRPr="006B306B" w:rsidRDefault="00054B9E" w:rsidP="00054B9E"/>
    <w:p w14:paraId="3FBF23B7" w14:textId="77777777" w:rsidR="00054B9E" w:rsidRPr="006B306B" w:rsidRDefault="002F5BCB" w:rsidP="00054B9E">
      <w:pPr>
        <w:rPr>
          <w:sz w:val="16"/>
        </w:rPr>
      </w:pPr>
      <w:r w:rsidRPr="006B306B">
        <w:rPr>
          <w:sz w:val="16"/>
        </w:rPr>
        <w:t>ABILITY TO APPLY KNOWLEDGE AND UNDERSTANDING</w:t>
      </w:r>
    </w:p>
    <w:p w14:paraId="22C9E9B1" w14:textId="77777777" w:rsidR="00054B9E" w:rsidRPr="006B306B" w:rsidRDefault="002F5BCB" w:rsidP="00054B9E">
      <w:r w:rsidRPr="006B306B">
        <w:t>At the end of the course, students will be able to make full use of the legal terminology of the European Union law, and carry out a critical analysis of its sources and the case law of the European Court of Justice.</w:t>
      </w:r>
      <w:r w:rsidR="00781A5A" w:rsidRPr="006B306B">
        <w:t xml:space="preserve"> In addition, students will be able to solve legal issues regarding the interaction between the EU legal framework and national laws. Finally, they will be able to study the EU policies from a legal perspective.</w:t>
      </w:r>
    </w:p>
    <w:p w14:paraId="3716E658" w14:textId="77777777" w:rsidR="00054B9E" w:rsidRPr="006B306B" w:rsidRDefault="00054B9E" w:rsidP="00054B9E"/>
    <w:p w14:paraId="048F9CE8" w14:textId="77777777" w:rsidR="00AA16D8" w:rsidRPr="006B306B" w:rsidRDefault="00446CE2" w:rsidP="00054B9E">
      <w:pPr>
        <w:rPr>
          <w:b/>
          <w:sz w:val="18"/>
        </w:rPr>
      </w:pPr>
      <w:r w:rsidRPr="006B306B">
        <w:rPr>
          <w:b/>
          <w:i/>
          <w:sz w:val="18"/>
        </w:rPr>
        <w:t>COURSE CONTENT</w:t>
      </w:r>
    </w:p>
    <w:p w14:paraId="14832914" w14:textId="77777777" w:rsidR="00AA16D8" w:rsidRPr="006B306B" w:rsidRDefault="00446CE2">
      <w:r w:rsidRPr="006B306B">
        <w:rPr>
          <w:i/>
        </w:rPr>
        <w:t>1. General part: institutional profiles</w:t>
      </w:r>
    </w:p>
    <w:p w14:paraId="06CBB1F8" w14:textId="77777777" w:rsidR="00AA16D8" w:rsidRPr="006B306B" w:rsidRDefault="00446CE2">
      <w:pPr>
        <w:pStyle w:val="Paragrafoelenco"/>
        <w:numPr>
          <w:ilvl w:val="0"/>
          <w:numId w:val="2"/>
        </w:numPr>
        <w:rPr>
          <w:color w:val="000000"/>
          <w:shd w:val="clear" w:color="auto" w:fill="FFFFFF"/>
        </w:rPr>
      </w:pPr>
      <w:r w:rsidRPr="006B306B">
        <w:rPr>
          <w:color w:val="000000"/>
          <w:shd w:val="clear" w:color="auto" w:fill="FFFFFF"/>
        </w:rPr>
        <w:t>Origins and developments of the process of European integration</w:t>
      </w:r>
    </w:p>
    <w:p w14:paraId="4F77386E" w14:textId="77777777" w:rsidR="00AA16D8" w:rsidRPr="006B306B" w:rsidRDefault="00446CE2">
      <w:pPr>
        <w:pStyle w:val="Paragrafoelenco"/>
        <w:numPr>
          <w:ilvl w:val="0"/>
          <w:numId w:val="2"/>
        </w:numPr>
        <w:rPr>
          <w:color w:val="000000"/>
          <w:shd w:val="clear" w:color="auto" w:fill="FFFFFF"/>
        </w:rPr>
      </w:pPr>
      <w:r w:rsidRPr="006B306B">
        <w:rPr>
          <w:color w:val="000000"/>
          <w:shd w:val="clear" w:color="auto" w:fill="FFFFFF"/>
        </w:rPr>
        <w:t>Characteristics of the European Union, founding values ​​and objectives</w:t>
      </w:r>
    </w:p>
    <w:p w14:paraId="2BBCBCCA" w14:textId="77777777" w:rsidR="00AA16D8" w:rsidRPr="006B306B" w:rsidRDefault="00446CE2">
      <w:pPr>
        <w:pStyle w:val="Paragrafoelenco"/>
        <w:numPr>
          <w:ilvl w:val="0"/>
          <w:numId w:val="2"/>
        </w:numPr>
        <w:rPr>
          <w:color w:val="000000"/>
          <w:shd w:val="clear" w:color="auto" w:fill="FFFFFF"/>
        </w:rPr>
      </w:pPr>
      <w:r w:rsidRPr="006B306B">
        <w:rPr>
          <w:color w:val="000000"/>
          <w:shd w:val="clear" w:color="auto" w:fill="FFFFFF"/>
        </w:rPr>
        <w:t>The system of skills</w:t>
      </w:r>
    </w:p>
    <w:p w14:paraId="02A34949" w14:textId="77777777" w:rsidR="00AA16D8" w:rsidRPr="006B306B" w:rsidRDefault="00446CE2">
      <w:pPr>
        <w:pStyle w:val="Paragrafoelenco"/>
        <w:numPr>
          <w:ilvl w:val="0"/>
          <w:numId w:val="2"/>
        </w:numPr>
        <w:rPr>
          <w:color w:val="000000"/>
          <w:shd w:val="clear" w:color="auto" w:fill="FFFFFF"/>
        </w:rPr>
      </w:pPr>
      <w:r w:rsidRPr="006B306B">
        <w:rPr>
          <w:color w:val="000000"/>
          <w:shd w:val="clear" w:color="auto" w:fill="FFFFFF"/>
        </w:rPr>
        <w:t>The institutional framework (institutions, bodies and agencies)</w:t>
      </w:r>
    </w:p>
    <w:p w14:paraId="4D3F15F7" w14:textId="60027070" w:rsidR="00D35E01" w:rsidRPr="006B306B" w:rsidRDefault="006B306B" w:rsidP="00D35E01">
      <w:pPr>
        <w:pStyle w:val="Paragrafoelenco"/>
        <w:numPr>
          <w:ilvl w:val="0"/>
          <w:numId w:val="2"/>
        </w:numPr>
        <w:rPr>
          <w:color w:val="000000"/>
          <w:shd w:val="clear" w:color="auto" w:fill="FFFFFF"/>
        </w:rPr>
      </w:pPr>
      <w:r w:rsidRPr="006B306B">
        <w:rPr>
          <w:color w:val="000000"/>
          <w:shd w:val="clear" w:color="auto" w:fill="FFFFFF"/>
        </w:rPr>
        <w:t xml:space="preserve">The </w:t>
      </w:r>
      <w:r w:rsidR="000F4C4A" w:rsidRPr="006B306B">
        <w:rPr>
          <w:color w:val="000000"/>
          <w:shd w:val="clear" w:color="auto" w:fill="FFFFFF"/>
        </w:rPr>
        <w:t xml:space="preserve">EU legal system and its sources </w:t>
      </w:r>
    </w:p>
    <w:p w14:paraId="083A712A" w14:textId="77777777" w:rsidR="00AA16D8" w:rsidRPr="006B306B" w:rsidRDefault="00446CE2">
      <w:pPr>
        <w:pStyle w:val="Paragrafoelenco"/>
        <w:numPr>
          <w:ilvl w:val="0"/>
          <w:numId w:val="2"/>
        </w:numPr>
        <w:rPr>
          <w:color w:val="000000"/>
          <w:shd w:val="clear" w:color="auto" w:fill="FFFFFF"/>
        </w:rPr>
      </w:pPr>
      <w:r w:rsidRPr="006B306B">
        <w:rPr>
          <w:color w:val="000000"/>
          <w:shd w:val="clear" w:color="auto" w:fill="FFFFFF"/>
        </w:rPr>
        <w:t>EU law and domestic law</w:t>
      </w:r>
    </w:p>
    <w:p w14:paraId="451406DD" w14:textId="77777777" w:rsidR="00AA16D8" w:rsidRPr="006B306B" w:rsidRDefault="00446CE2">
      <w:pPr>
        <w:pStyle w:val="Paragrafoelenco"/>
        <w:numPr>
          <w:ilvl w:val="0"/>
          <w:numId w:val="2"/>
        </w:numPr>
        <w:rPr>
          <w:color w:val="000000"/>
          <w:shd w:val="clear" w:color="auto" w:fill="FFFFFF"/>
        </w:rPr>
      </w:pPr>
      <w:r w:rsidRPr="006B306B">
        <w:rPr>
          <w:color w:val="000000"/>
          <w:shd w:val="clear" w:color="auto" w:fill="FFFFFF"/>
        </w:rPr>
        <w:lastRenderedPageBreak/>
        <w:t>The judicial protection of rights</w:t>
      </w:r>
    </w:p>
    <w:p w14:paraId="2C582560" w14:textId="77777777" w:rsidR="00AA16D8" w:rsidRPr="006B306B" w:rsidRDefault="00AA16D8">
      <w:pPr>
        <w:rPr>
          <w:color w:val="000000"/>
          <w:shd w:val="clear" w:color="auto" w:fill="FFFFFF"/>
        </w:rPr>
      </w:pPr>
    </w:p>
    <w:p w14:paraId="4C9EAC97" w14:textId="77777777" w:rsidR="00AA16D8" w:rsidRPr="006B306B" w:rsidRDefault="00446CE2">
      <w:pPr>
        <w:rPr>
          <w:i/>
          <w:color w:val="000000"/>
          <w:shd w:val="clear" w:color="auto" w:fill="FFFFFF"/>
        </w:rPr>
      </w:pPr>
      <w:r w:rsidRPr="006B306B">
        <w:rPr>
          <w:i/>
          <w:color w:val="000000"/>
          <w:shd w:val="clear" w:color="auto" w:fill="FFFFFF"/>
        </w:rPr>
        <w:t xml:space="preserve">2. Special part: substantive law </w:t>
      </w:r>
    </w:p>
    <w:p w14:paraId="7E4FF917" w14:textId="4A68981D" w:rsidR="00C25607" w:rsidRDefault="003C68AA" w:rsidP="008E25E3">
      <w:pPr>
        <w:pStyle w:val="Paragrafoelenco"/>
        <w:numPr>
          <w:ilvl w:val="0"/>
          <w:numId w:val="2"/>
        </w:numPr>
        <w:rPr>
          <w:color w:val="000000"/>
          <w:shd w:val="clear" w:color="auto" w:fill="FFFFFF"/>
        </w:rPr>
      </w:pPr>
      <w:r>
        <w:rPr>
          <w:color w:val="000000"/>
          <w:shd w:val="clear" w:color="auto" w:fill="FFFFFF"/>
        </w:rPr>
        <w:t>EU citizenship</w:t>
      </w:r>
    </w:p>
    <w:p w14:paraId="35B241E7" w14:textId="5A0D736C" w:rsidR="003C68AA" w:rsidRDefault="003C68AA" w:rsidP="008E25E3">
      <w:pPr>
        <w:pStyle w:val="Paragrafoelenco"/>
        <w:numPr>
          <w:ilvl w:val="0"/>
          <w:numId w:val="2"/>
        </w:numPr>
        <w:rPr>
          <w:color w:val="000000"/>
          <w:shd w:val="clear" w:color="auto" w:fill="FFFFFF"/>
        </w:rPr>
      </w:pPr>
      <w:r>
        <w:rPr>
          <w:color w:val="000000"/>
          <w:shd w:val="clear" w:color="auto" w:fill="FFFFFF"/>
        </w:rPr>
        <w:t>The EU single market</w:t>
      </w:r>
    </w:p>
    <w:p w14:paraId="5111EDAB" w14:textId="44DF37C8" w:rsidR="003C68AA" w:rsidRPr="006B306B" w:rsidRDefault="003C68AA" w:rsidP="008E25E3">
      <w:pPr>
        <w:pStyle w:val="Paragrafoelenco"/>
        <w:numPr>
          <w:ilvl w:val="0"/>
          <w:numId w:val="2"/>
        </w:numPr>
        <w:rPr>
          <w:color w:val="000000"/>
          <w:shd w:val="clear" w:color="auto" w:fill="FFFFFF"/>
        </w:rPr>
      </w:pPr>
      <w:r>
        <w:rPr>
          <w:color w:val="000000"/>
          <w:shd w:val="clear" w:color="auto" w:fill="FFFFFF"/>
        </w:rPr>
        <w:t xml:space="preserve">The Economic and Monetary Union </w:t>
      </w:r>
    </w:p>
    <w:p w14:paraId="5D13D832" w14:textId="77777777" w:rsidR="00AA16D8" w:rsidRPr="006B306B" w:rsidRDefault="00446CE2">
      <w:pPr>
        <w:keepNext/>
        <w:spacing w:before="240" w:after="120"/>
        <w:rPr>
          <w:b/>
          <w:sz w:val="18"/>
          <w:szCs w:val="18"/>
        </w:rPr>
      </w:pPr>
      <w:r w:rsidRPr="006B306B">
        <w:rPr>
          <w:b/>
          <w:i/>
          <w:sz w:val="18"/>
          <w:szCs w:val="18"/>
        </w:rPr>
        <w:t>READING LIST</w:t>
      </w:r>
    </w:p>
    <w:p w14:paraId="5D59E548" w14:textId="77777777" w:rsidR="00C25607" w:rsidRPr="006B306B" w:rsidRDefault="00030FE5" w:rsidP="00C25607">
      <w:pPr>
        <w:pStyle w:val="Testo1"/>
        <w:spacing w:after="120" w:line="240" w:lineRule="atLeast"/>
        <w:ind w:left="0" w:firstLine="0"/>
        <w:rPr>
          <w:spacing w:val="-5"/>
        </w:rPr>
      </w:pPr>
      <w:r w:rsidRPr="006B306B">
        <w:rPr>
          <w:spacing w:val="-5"/>
        </w:rPr>
        <w:t xml:space="preserve">For the </w:t>
      </w:r>
      <w:r w:rsidRPr="006B306B">
        <w:rPr>
          <w:i/>
          <w:spacing w:val="-5"/>
        </w:rPr>
        <w:t>general part</w:t>
      </w:r>
      <w:r w:rsidRPr="006B306B">
        <w:rPr>
          <w:spacing w:val="-5"/>
        </w:rPr>
        <w:t>:</w:t>
      </w:r>
    </w:p>
    <w:p w14:paraId="5CBDE34E" w14:textId="262A3431" w:rsidR="00C25607" w:rsidRPr="006B306B" w:rsidRDefault="00C25607" w:rsidP="00C25607">
      <w:pPr>
        <w:pStyle w:val="Testo1"/>
        <w:spacing w:line="240" w:lineRule="atLeast"/>
        <w:rPr>
          <w:spacing w:val="-5"/>
          <w:lang w:val="it-IT"/>
        </w:rPr>
      </w:pPr>
      <w:r w:rsidRPr="003715EC">
        <w:rPr>
          <w:spacing w:val="-5"/>
          <w:lang w:val="it-IT"/>
        </w:rPr>
        <w:t xml:space="preserve"> </w:t>
      </w:r>
      <w:r w:rsidRPr="006B306B">
        <w:rPr>
          <w:smallCaps/>
          <w:spacing w:val="-5"/>
          <w:sz w:val="16"/>
          <w:lang w:val="it-IT"/>
        </w:rPr>
        <w:t>U. Draetta-F. Bestagno-A. Santini</w:t>
      </w:r>
      <w:r w:rsidRPr="006B306B">
        <w:rPr>
          <w:smallCaps/>
          <w:spacing w:val="-5"/>
          <w:sz w:val="20"/>
          <w:lang w:val="it-IT"/>
        </w:rPr>
        <w:t>,</w:t>
      </w:r>
      <w:r w:rsidRPr="006B306B">
        <w:rPr>
          <w:i/>
          <w:spacing w:val="-5"/>
          <w:sz w:val="20"/>
          <w:lang w:val="it-IT"/>
        </w:rPr>
        <w:t xml:space="preserve"> </w:t>
      </w:r>
      <w:r w:rsidRPr="006B306B">
        <w:rPr>
          <w:i/>
          <w:spacing w:val="-5"/>
          <w:lang w:val="it-IT"/>
        </w:rPr>
        <w:t>Elementi di diritto dell’Unione Europea - Parte istituzionale,</w:t>
      </w:r>
      <w:r w:rsidRPr="006B306B">
        <w:rPr>
          <w:spacing w:val="-5"/>
          <w:lang w:val="it-IT"/>
        </w:rPr>
        <w:t xml:space="preserve"> Giuffrè</w:t>
      </w:r>
      <w:r w:rsidR="00054B9E" w:rsidRPr="006B306B">
        <w:rPr>
          <w:spacing w:val="-5"/>
          <w:lang w:val="it-IT"/>
        </w:rPr>
        <w:t xml:space="preserve"> Francis Lefebvre, </w:t>
      </w:r>
      <w:r w:rsidRPr="006B306B">
        <w:rPr>
          <w:spacing w:val="-5"/>
          <w:lang w:val="it-IT"/>
        </w:rPr>
        <w:t xml:space="preserve"> Editore, Milan, </w:t>
      </w:r>
      <w:r w:rsidR="003C68AA">
        <w:rPr>
          <w:spacing w:val="-5"/>
          <w:lang w:val="it-IT"/>
        </w:rPr>
        <w:t>2022</w:t>
      </w:r>
      <w:r w:rsidRPr="006B306B">
        <w:rPr>
          <w:spacing w:val="-5"/>
          <w:lang w:val="it-IT"/>
        </w:rPr>
        <w:t xml:space="preserve">, </w:t>
      </w:r>
      <w:r w:rsidR="003C68AA">
        <w:rPr>
          <w:spacing w:val="-5"/>
          <w:lang w:val="it-IT"/>
        </w:rPr>
        <w:t>7</w:t>
      </w:r>
      <w:r w:rsidR="008E25E3" w:rsidRPr="006B306B">
        <w:rPr>
          <w:spacing w:val="-5"/>
          <w:lang w:val="it-IT"/>
        </w:rPr>
        <w:t>th</w:t>
      </w:r>
      <w:r w:rsidRPr="006B306B">
        <w:rPr>
          <w:spacing w:val="-5"/>
          <w:lang w:val="it-IT"/>
        </w:rPr>
        <w:t xml:space="preserve"> ed.</w:t>
      </w:r>
    </w:p>
    <w:p w14:paraId="7BC6139B" w14:textId="77777777" w:rsidR="00AA16D8" w:rsidRPr="006B306B" w:rsidRDefault="00AA16D8">
      <w:pPr>
        <w:pStyle w:val="Testo1"/>
        <w:spacing w:line="240" w:lineRule="atLeast"/>
        <w:ind w:left="0" w:firstLine="0"/>
        <w:rPr>
          <w:noProof w:val="0"/>
          <w:szCs w:val="18"/>
          <w:lang w:val="it-IT"/>
        </w:rPr>
      </w:pPr>
    </w:p>
    <w:p w14:paraId="78EB0D34" w14:textId="77777777" w:rsidR="00054B9E" w:rsidRPr="006B306B" w:rsidRDefault="00781A5A" w:rsidP="00781A5A">
      <w:pPr>
        <w:pStyle w:val="Testo1"/>
        <w:spacing w:line="240" w:lineRule="atLeast"/>
        <w:rPr>
          <w:spacing w:val="-5"/>
        </w:rPr>
      </w:pPr>
      <w:r w:rsidRPr="006B306B">
        <w:rPr>
          <w:i/>
          <w:spacing w:val="-5"/>
        </w:rPr>
        <w:t>Students attending classes</w:t>
      </w:r>
      <w:r w:rsidRPr="006B306B">
        <w:rPr>
          <w:spacing w:val="-5"/>
        </w:rPr>
        <w:t xml:space="preserve"> will have to study the textbook mentioned above (according to the indications given by the lecturer), the notes taken during the lectures, and further material that will be made available on Blackboard.</w:t>
      </w:r>
    </w:p>
    <w:p w14:paraId="6C66734E" w14:textId="546B4C65" w:rsidR="00781A5A" w:rsidRPr="006B306B" w:rsidRDefault="00781A5A" w:rsidP="00781A5A">
      <w:pPr>
        <w:pStyle w:val="Testo1"/>
        <w:spacing w:line="240" w:lineRule="atLeast"/>
        <w:rPr>
          <w:spacing w:val="-5"/>
        </w:rPr>
      </w:pPr>
      <w:r w:rsidRPr="006B306B">
        <w:rPr>
          <w:i/>
          <w:spacing w:val="-5"/>
        </w:rPr>
        <w:t xml:space="preserve">Students not attending classes </w:t>
      </w:r>
      <w:r w:rsidRPr="006B306B">
        <w:rPr>
          <w:spacing w:val="-5"/>
        </w:rPr>
        <w:t xml:space="preserve">will have to study the whole textbook mentioned above, as well as chapter </w:t>
      </w:r>
      <w:r w:rsidR="00E31844">
        <w:rPr>
          <w:i/>
          <w:spacing w:val="-5"/>
        </w:rPr>
        <w:t>I</w:t>
      </w:r>
      <w:r w:rsidR="00240731" w:rsidRPr="00240731">
        <w:rPr>
          <w:i/>
          <w:spacing w:val="-5"/>
        </w:rPr>
        <w:t xml:space="preserve"> (Nozioni Generali), </w:t>
      </w:r>
      <w:r w:rsidR="00240731">
        <w:rPr>
          <w:iCs/>
          <w:spacing w:val="-5"/>
        </w:rPr>
        <w:t>chapter</w:t>
      </w:r>
      <w:r w:rsidR="00240731" w:rsidRPr="00240731">
        <w:rPr>
          <w:i/>
          <w:spacing w:val="-5"/>
        </w:rPr>
        <w:t xml:space="preserve"> </w:t>
      </w:r>
      <w:r w:rsidR="00240731" w:rsidRPr="00240731">
        <w:rPr>
          <w:iCs/>
          <w:spacing w:val="-5"/>
        </w:rPr>
        <w:t>II</w:t>
      </w:r>
      <w:r w:rsidR="00240731" w:rsidRPr="00240731">
        <w:rPr>
          <w:i/>
          <w:spacing w:val="-5"/>
        </w:rPr>
        <w:t xml:space="preserve"> (La libera circolazione delle merci), </w:t>
      </w:r>
      <w:r w:rsidR="00240731">
        <w:rPr>
          <w:iCs/>
          <w:spacing w:val="-5"/>
        </w:rPr>
        <w:t>chapter</w:t>
      </w:r>
      <w:r w:rsidR="00240731" w:rsidRPr="00240731">
        <w:rPr>
          <w:i/>
          <w:spacing w:val="-5"/>
        </w:rPr>
        <w:t xml:space="preserve"> </w:t>
      </w:r>
      <w:r w:rsidR="00240731" w:rsidRPr="00240731">
        <w:rPr>
          <w:iCs/>
          <w:spacing w:val="-5"/>
        </w:rPr>
        <w:t>II</w:t>
      </w:r>
      <w:r w:rsidR="00240731">
        <w:rPr>
          <w:iCs/>
          <w:spacing w:val="-5"/>
        </w:rPr>
        <w:t>I</w:t>
      </w:r>
      <w:r w:rsidR="00240731" w:rsidRPr="00240731">
        <w:rPr>
          <w:i/>
          <w:spacing w:val="-5"/>
        </w:rPr>
        <w:t xml:space="preserve"> (La libera circolazione delle persone), </w:t>
      </w:r>
      <w:r w:rsidR="00240731" w:rsidRPr="00240731">
        <w:rPr>
          <w:iCs/>
          <w:spacing w:val="-5"/>
        </w:rPr>
        <w:t>chapter X</w:t>
      </w:r>
      <w:r w:rsidR="00240731" w:rsidRPr="00240731">
        <w:rPr>
          <w:i/>
          <w:spacing w:val="-5"/>
        </w:rPr>
        <w:t xml:space="preserve"> (L’Unione economica e monetaria)</w:t>
      </w:r>
      <w:r w:rsidRPr="006B306B">
        <w:rPr>
          <w:spacing w:val="-5"/>
        </w:rPr>
        <w:t>) of:</w:t>
      </w:r>
    </w:p>
    <w:p w14:paraId="31627B70" w14:textId="5218FA43" w:rsidR="00AA16D8" w:rsidRPr="006B306B" w:rsidRDefault="00C25607" w:rsidP="00C25607">
      <w:pPr>
        <w:pStyle w:val="Testo1"/>
        <w:spacing w:line="240" w:lineRule="atLeast"/>
        <w:rPr>
          <w:spacing w:val="-5"/>
          <w:lang w:val="it-IT"/>
        </w:rPr>
      </w:pPr>
      <w:r w:rsidRPr="006B306B">
        <w:rPr>
          <w:smallCaps/>
          <w:spacing w:val="-5"/>
          <w:sz w:val="16"/>
          <w:lang w:val="it-IT"/>
        </w:rPr>
        <w:t>L. Daniele (</w:t>
      </w:r>
      <w:r w:rsidR="00312DF4" w:rsidRPr="006B306B">
        <w:rPr>
          <w:smallCaps/>
          <w:spacing w:val="-5"/>
          <w:sz w:val="16"/>
          <w:lang w:val="it-IT"/>
        </w:rPr>
        <w:t>edited by</w:t>
      </w:r>
      <w:r w:rsidRPr="006B306B">
        <w:rPr>
          <w:smallCaps/>
          <w:spacing w:val="-5"/>
          <w:sz w:val="16"/>
          <w:lang w:val="it-IT"/>
        </w:rPr>
        <w:t>)</w:t>
      </w:r>
      <w:r w:rsidRPr="006B306B">
        <w:rPr>
          <w:smallCaps/>
          <w:spacing w:val="-5"/>
          <w:sz w:val="20"/>
          <w:lang w:val="it-IT"/>
        </w:rPr>
        <w:t xml:space="preserve">, </w:t>
      </w:r>
      <w:r w:rsidRPr="006B306B">
        <w:rPr>
          <w:i/>
          <w:spacing w:val="-5"/>
          <w:lang w:val="it-IT"/>
        </w:rPr>
        <w:t>Diritto del mercato unico europeo e dello spazio di libertà, sicurezza e giustizia</w:t>
      </w:r>
      <w:r w:rsidRPr="006B306B">
        <w:rPr>
          <w:spacing w:val="-5"/>
          <w:lang w:val="it-IT"/>
        </w:rPr>
        <w:t xml:space="preserve">, Giuffrè Editore, Milan, </w:t>
      </w:r>
      <w:r w:rsidR="00240731">
        <w:rPr>
          <w:spacing w:val="-5"/>
          <w:lang w:val="it-IT"/>
        </w:rPr>
        <w:t>2021</w:t>
      </w:r>
      <w:r w:rsidR="00054B9E" w:rsidRPr="006B306B">
        <w:rPr>
          <w:spacing w:val="-5"/>
          <w:lang w:val="it-IT"/>
        </w:rPr>
        <w:t>.</w:t>
      </w:r>
    </w:p>
    <w:p w14:paraId="2A263428" w14:textId="77777777" w:rsidR="00054B9E" w:rsidRPr="006B306B" w:rsidRDefault="00054B9E" w:rsidP="00C25607">
      <w:pPr>
        <w:pStyle w:val="Testo1"/>
        <w:spacing w:line="240" w:lineRule="atLeast"/>
        <w:rPr>
          <w:spacing w:val="-5"/>
          <w:lang w:val="it-IT"/>
        </w:rPr>
      </w:pPr>
    </w:p>
    <w:p w14:paraId="615D0C49" w14:textId="77777777" w:rsidR="00240731" w:rsidRDefault="00446CE2">
      <w:pPr>
        <w:pStyle w:val="Testo1"/>
        <w:spacing w:line="240" w:lineRule="atLeast"/>
        <w:ind w:left="0" w:firstLine="284"/>
        <w:rPr>
          <w:noProof w:val="0"/>
          <w:szCs w:val="18"/>
        </w:rPr>
      </w:pPr>
      <w:r w:rsidRPr="006B306B">
        <w:rPr>
          <w:noProof w:val="0"/>
          <w:szCs w:val="18"/>
        </w:rPr>
        <w:t xml:space="preserve">For an adequate understanding of European Union law it is </w:t>
      </w:r>
      <w:r w:rsidRPr="006B306B">
        <w:rPr>
          <w:i/>
          <w:noProof w:val="0"/>
          <w:szCs w:val="18"/>
        </w:rPr>
        <w:t>necessary</w:t>
      </w:r>
      <w:r w:rsidRPr="006B306B">
        <w:rPr>
          <w:noProof w:val="0"/>
          <w:szCs w:val="18"/>
        </w:rPr>
        <w:t xml:space="preserve"> to consult various sources, readily available online or collected in one of the codices available on the market</w:t>
      </w:r>
      <w:r w:rsidR="00240731">
        <w:rPr>
          <w:noProof w:val="0"/>
          <w:szCs w:val="18"/>
        </w:rPr>
        <w:t>.</w:t>
      </w:r>
    </w:p>
    <w:p w14:paraId="16ABAC6A" w14:textId="2266EB49" w:rsidR="00AA16D8" w:rsidRPr="006B306B" w:rsidRDefault="00446CE2">
      <w:pPr>
        <w:pStyle w:val="Testo1"/>
        <w:spacing w:line="240" w:lineRule="atLeast"/>
        <w:ind w:left="0" w:firstLine="284"/>
        <w:rPr>
          <w:noProof w:val="0"/>
          <w:szCs w:val="18"/>
        </w:rPr>
      </w:pPr>
      <w:r w:rsidRPr="006B306B">
        <w:rPr>
          <w:noProof w:val="0"/>
          <w:szCs w:val="18"/>
        </w:rPr>
        <w:t xml:space="preserve"> </w:t>
      </w:r>
    </w:p>
    <w:p w14:paraId="530215BB" w14:textId="77777777" w:rsidR="00AA16D8" w:rsidRPr="006B306B" w:rsidRDefault="00446CE2">
      <w:pPr>
        <w:spacing w:before="240" w:after="120" w:line="220" w:lineRule="exact"/>
        <w:rPr>
          <w:b/>
          <w:i/>
          <w:sz w:val="18"/>
          <w:szCs w:val="18"/>
        </w:rPr>
      </w:pPr>
      <w:r w:rsidRPr="006B306B">
        <w:rPr>
          <w:b/>
          <w:i/>
          <w:sz w:val="18"/>
          <w:szCs w:val="18"/>
        </w:rPr>
        <w:t>TEACHING METHOD</w:t>
      </w:r>
    </w:p>
    <w:p w14:paraId="12087BC1" w14:textId="77777777" w:rsidR="00AA16D8" w:rsidRPr="006B306B" w:rsidRDefault="00446CE2">
      <w:pPr>
        <w:pStyle w:val="Testo2"/>
        <w:rPr>
          <w:noProof w:val="0"/>
          <w:szCs w:val="18"/>
        </w:rPr>
      </w:pPr>
      <w:r w:rsidRPr="006B306B">
        <w:rPr>
          <w:noProof w:val="0"/>
          <w:szCs w:val="18"/>
        </w:rPr>
        <w:t xml:space="preserve">Traditional "frontal" lectures will be supplemented with the examination of "materials" in class, aimed at illustrating course contents and requiring </w:t>
      </w:r>
      <w:r w:rsidR="004F3011" w:rsidRPr="006B306B">
        <w:rPr>
          <w:noProof w:val="0"/>
          <w:szCs w:val="18"/>
        </w:rPr>
        <w:t>active student</w:t>
      </w:r>
      <w:r w:rsidRPr="006B306B">
        <w:rPr>
          <w:noProof w:val="0"/>
          <w:szCs w:val="18"/>
        </w:rPr>
        <w:t xml:space="preserve"> participation. A focus will also be on the online search for sources.</w:t>
      </w:r>
    </w:p>
    <w:p w14:paraId="6A806644" w14:textId="77777777" w:rsidR="00730CF7" w:rsidRPr="006B306B" w:rsidRDefault="00730CF7" w:rsidP="00730CF7">
      <w:pPr>
        <w:tabs>
          <w:tab w:val="left" w:pos="284"/>
        </w:tabs>
        <w:spacing w:before="240" w:after="120" w:line="220" w:lineRule="exact"/>
        <w:rPr>
          <w:rFonts w:eastAsia="Times New Roman"/>
          <w:b/>
          <w:i/>
          <w:sz w:val="18"/>
          <w:lang w:val="en-US"/>
        </w:rPr>
      </w:pPr>
      <w:r w:rsidRPr="006B306B">
        <w:rPr>
          <w:rFonts w:eastAsia="Times New Roman"/>
          <w:b/>
          <w:i/>
          <w:sz w:val="18"/>
          <w:lang w:val="en-US"/>
        </w:rPr>
        <w:t>ASSESSMENT METHOD AND CRITERIA</w:t>
      </w:r>
    </w:p>
    <w:p w14:paraId="5AE01FA9" w14:textId="77777777" w:rsidR="00AA16D8" w:rsidRPr="006B306B" w:rsidRDefault="008E25E3">
      <w:pPr>
        <w:pStyle w:val="Testo2"/>
        <w:rPr>
          <w:noProof w:val="0"/>
          <w:szCs w:val="18"/>
        </w:rPr>
      </w:pPr>
      <w:r w:rsidRPr="006B306B">
        <w:rPr>
          <w:noProof w:val="0"/>
          <w:szCs w:val="18"/>
        </w:rPr>
        <w:t>St</w:t>
      </w:r>
      <w:r w:rsidR="00446CE2" w:rsidRPr="006B306B">
        <w:rPr>
          <w:noProof w:val="0"/>
          <w:szCs w:val="18"/>
        </w:rPr>
        <w:t xml:space="preserve">udents </w:t>
      </w:r>
      <w:r w:rsidR="00446CE2" w:rsidRPr="006B306B">
        <w:rPr>
          <w:i/>
          <w:noProof w:val="0"/>
          <w:szCs w:val="18"/>
        </w:rPr>
        <w:t xml:space="preserve">attending lectures </w:t>
      </w:r>
      <w:r w:rsidR="004F3011" w:rsidRPr="006B306B">
        <w:rPr>
          <w:noProof w:val="0"/>
          <w:szCs w:val="18"/>
        </w:rPr>
        <w:t>who</w:t>
      </w:r>
      <w:r w:rsidR="00446CE2" w:rsidRPr="006B306B">
        <w:rPr>
          <w:noProof w:val="0"/>
          <w:szCs w:val="18"/>
        </w:rPr>
        <w:t xml:space="preserve"> wish to</w:t>
      </w:r>
      <w:r w:rsidRPr="006B306B">
        <w:rPr>
          <w:noProof w:val="0"/>
          <w:szCs w:val="18"/>
        </w:rPr>
        <w:t>,</w:t>
      </w:r>
      <w:r w:rsidR="00446CE2" w:rsidRPr="006B306B">
        <w:rPr>
          <w:noProof w:val="0"/>
          <w:szCs w:val="18"/>
        </w:rPr>
        <w:t xml:space="preserve"> may take the exam in the form of two oral tests, one at the end of the first part of the course and the other upon conclusion of the course itself. For students </w:t>
      </w:r>
      <w:r w:rsidR="00446CE2" w:rsidRPr="006B306B">
        <w:rPr>
          <w:i/>
          <w:noProof w:val="0"/>
          <w:szCs w:val="18"/>
        </w:rPr>
        <w:t>not attending lectures</w:t>
      </w:r>
      <w:r w:rsidR="00446CE2" w:rsidRPr="006B306B">
        <w:rPr>
          <w:noProof w:val="0"/>
          <w:szCs w:val="18"/>
        </w:rPr>
        <w:t xml:space="preserve"> (and those attending lectures but who don't take or fail the interim test) the exam will take the form of a single oral exam.</w:t>
      </w:r>
    </w:p>
    <w:p w14:paraId="632B71E1" w14:textId="77777777" w:rsidR="00AA16D8" w:rsidRPr="006B306B" w:rsidRDefault="004F3011">
      <w:pPr>
        <w:pStyle w:val="Testo2"/>
        <w:rPr>
          <w:noProof w:val="0"/>
          <w:szCs w:val="18"/>
        </w:rPr>
      </w:pPr>
      <w:r w:rsidRPr="006B306B">
        <w:rPr>
          <w:noProof w:val="0"/>
          <w:szCs w:val="18"/>
        </w:rPr>
        <w:t>A</w:t>
      </w:r>
      <w:r w:rsidR="00446CE2" w:rsidRPr="006B306B">
        <w:rPr>
          <w:noProof w:val="0"/>
          <w:szCs w:val="18"/>
        </w:rPr>
        <w:t>ssessment will be out of thirty and will take into account student</w:t>
      </w:r>
      <w:r w:rsidRPr="006B306B">
        <w:rPr>
          <w:noProof w:val="0"/>
          <w:szCs w:val="18"/>
        </w:rPr>
        <w:t>s'</w:t>
      </w:r>
      <w:r w:rsidR="00446CE2" w:rsidRPr="006B306B">
        <w:rPr>
          <w:noProof w:val="0"/>
          <w:szCs w:val="18"/>
        </w:rPr>
        <w:t xml:space="preserve"> level of knowledge of course topics, their critical understanding of the issues dealt with, their presentation skills and use of appropriate legal language.</w:t>
      </w:r>
    </w:p>
    <w:p w14:paraId="14BCBCA0" w14:textId="77777777" w:rsidR="00AA16D8" w:rsidRPr="006B306B" w:rsidRDefault="00730CF7" w:rsidP="00730CF7">
      <w:pPr>
        <w:tabs>
          <w:tab w:val="left" w:pos="284"/>
        </w:tabs>
        <w:spacing w:before="240" w:after="120"/>
        <w:rPr>
          <w:rFonts w:eastAsia="Times New Roman"/>
          <w:b/>
          <w:i/>
          <w:sz w:val="18"/>
          <w:lang w:val="en-US"/>
        </w:rPr>
      </w:pPr>
      <w:r w:rsidRPr="006B306B">
        <w:rPr>
          <w:rFonts w:eastAsia="Times New Roman"/>
          <w:b/>
          <w:i/>
          <w:sz w:val="18"/>
          <w:lang w:val="en-US"/>
        </w:rPr>
        <w:lastRenderedPageBreak/>
        <w:t>NOTES AND PREREQUISITES</w:t>
      </w:r>
    </w:p>
    <w:p w14:paraId="279D1194" w14:textId="77777777" w:rsidR="00AA16D8" w:rsidRPr="006B306B" w:rsidRDefault="00446CE2" w:rsidP="00446CE2">
      <w:pPr>
        <w:pStyle w:val="Testo2"/>
        <w:rPr>
          <w:noProof w:val="0"/>
          <w:szCs w:val="18"/>
        </w:rPr>
      </w:pPr>
      <w:r w:rsidRPr="006B306B">
        <w:rPr>
          <w:noProof w:val="0"/>
          <w:szCs w:val="18"/>
        </w:rPr>
        <w:t>Knowledge of English or French is a prerequisite for</w:t>
      </w:r>
      <w:r w:rsidR="00781A5A" w:rsidRPr="006B306B">
        <w:rPr>
          <w:noProof w:val="0"/>
          <w:szCs w:val="18"/>
        </w:rPr>
        <w:t xml:space="preserve"> the year-1, year-2, and year-3 written</w:t>
      </w:r>
      <w:r w:rsidRPr="006B306B">
        <w:rPr>
          <w:noProof w:val="0"/>
          <w:szCs w:val="18"/>
        </w:rPr>
        <w:t xml:space="preserve"> assignment</w:t>
      </w:r>
      <w:r w:rsidR="00E61146" w:rsidRPr="006B306B">
        <w:rPr>
          <w:noProof w:val="0"/>
          <w:szCs w:val="18"/>
        </w:rPr>
        <w:t>s</w:t>
      </w:r>
      <w:r w:rsidRPr="006B306B">
        <w:rPr>
          <w:noProof w:val="0"/>
          <w:szCs w:val="18"/>
        </w:rPr>
        <w:t>.</w:t>
      </w:r>
    </w:p>
    <w:p w14:paraId="4FB8313B" w14:textId="77777777" w:rsidR="00D35E01" w:rsidRPr="006B306B" w:rsidRDefault="00D35E01" w:rsidP="00446CE2">
      <w:pPr>
        <w:pStyle w:val="Testo2"/>
        <w:rPr>
          <w:noProof w:val="0"/>
          <w:szCs w:val="18"/>
        </w:rPr>
      </w:pPr>
    </w:p>
    <w:p w14:paraId="59364180" w14:textId="77777777" w:rsidR="00030FE5" w:rsidRPr="006B306B" w:rsidRDefault="00030FE5" w:rsidP="00446CE2">
      <w:pPr>
        <w:pStyle w:val="Testo2"/>
        <w:rPr>
          <w:noProof w:val="0"/>
          <w:szCs w:val="18"/>
        </w:rPr>
      </w:pPr>
    </w:p>
    <w:p w14:paraId="117BC2A4" w14:textId="77777777" w:rsidR="00030FE5" w:rsidRPr="008E25E3" w:rsidRDefault="00030FE5" w:rsidP="00030FE5">
      <w:pPr>
        <w:pStyle w:val="Testo2"/>
        <w:rPr>
          <w:noProof w:val="0"/>
          <w:szCs w:val="18"/>
        </w:rPr>
      </w:pPr>
      <w:r w:rsidRPr="006B306B">
        <w:rPr>
          <w:noProof w:val="0"/>
          <w:szCs w:val="18"/>
        </w:rPr>
        <w:t>Further information can be found on the lecturer's webpage at http://docenti.unicatt.it/web/searchByName.do?language=ENG or on the Faculty notice board.</w:t>
      </w:r>
    </w:p>
    <w:p w14:paraId="53E6B9B6" w14:textId="77777777" w:rsidR="00446CE2" w:rsidRPr="00030FE5" w:rsidRDefault="00446CE2" w:rsidP="00030FE5">
      <w:pPr>
        <w:pStyle w:val="Testo2"/>
        <w:spacing w:before="120"/>
        <w:ind w:firstLine="0"/>
        <w:rPr>
          <w:noProof w:val="0"/>
          <w:sz w:val="20"/>
          <w:szCs w:val="18"/>
        </w:rPr>
      </w:pPr>
    </w:p>
    <w:p w14:paraId="556F546E" w14:textId="77777777" w:rsidR="00AA16D8" w:rsidRPr="004F3011" w:rsidRDefault="00AA16D8">
      <w:pPr>
        <w:rPr>
          <w:sz w:val="18"/>
          <w:szCs w:val="18"/>
        </w:rPr>
      </w:pPr>
    </w:p>
    <w:sectPr w:rsidR="00AA16D8" w:rsidRPr="004F3011" w:rsidSect="00E155B5">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B6617"/>
    <w:multiLevelType w:val="hybridMultilevel"/>
    <w:tmpl w:val="3E40911C"/>
    <w:lvl w:ilvl="0" w:tplc="28CA3EE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7A963F3"/>
    <w:multiLevelType w:val="hybridMultilevel"/>
    <w:tmpl w:val="36640964"/>
    <w:lvl w:ilvl="0" w:tplc="28268B8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99418703">
    <w:abstractNumId w:val="0"/>
  </w:num>
  <w:num w:numId="2" w16cid:durableId="1453019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A0"/>
    <w:rsid w:val="000261CC"/>
    <w:rsid w:val="00030FE5"/>
    <w:rsid w:val="00036D78"/>
    <w:rsid w:val="00054B9E"/>
    <w:rsid w:val="000838D0"/>
    <w:rsid w:val="00096869"/>
    <w:rsid w:val="000B4F75"/>
    <w:rsid w:val="000B78D0"/>
    <w:rsid w:val="000F4C4A"/>
    <w:rsid w:val="00107EF7"/>
    <w:rsid w:val="001C4191"/>
    <w:rsid w:val="002162A1"/>
    <w:rsid w:val="00240731"/>
    <w:rsid w:val="00292184"/>
    <w:rsid w:val="00296EB1"/>
    <w:rsid w:val="002E3E99"/>
    <w:rsid w:val="002E71C7"/>
    <w:rsid w:val="002F5BCB"/>
    <w:rsid w:val="0031046C"/>
    <w:rsid w:val="00312DF4"/>
    <w:rsid w:val="00337DB0"/>
    <w:rsid w:val="003715EC"/>
    <w:rsid w:val="003850B6"/>
    <w:rsid w:val="003C68AA"/>
    <w:rsid w:val="00446CE2"/>
    <w:rsid w:val="00487414"/>
    <w:rsid w:val="004D05F7"/>
    <w:rsid w:val="004F3011"/>
    <w:rsid w:val="00551B14"/>
    <w:rsid w:val="005A5DBB"/>
    <w:rsid w:val="00635546"/>
    <w:rsid w:val="00655BC5"/>
    <w:rsid w:val="00665159"/>
    <w:rsid w:val="00685B73"/>
    <w:rsid w:val="00687C17"/>
    <w:rsid w:val="006B306B"/>
    <w:rsid w:val="006C3575"/>
    <w:rsid w:val="006F25DF"/>
    <w:rsid w:val="00720BFD"/>
    <w:rsid w:val="00730CF7"/>
    <w:rsid w:val="00753725"/>
    <w:rsid w:val="00780E5D"/>
    <w:rsid w:val="00781A5A"/>
    <w:rsid w:val="007C1112"/>
    <w:rsid w:val="007E26A0"/>
    <w:rsid w:val="0081500C"/>
    <w:rsid w:val="00825E20"/>
    <w:rsid w:val="00826841"/>
    <w:rsid w:val="00876353"/>
    <w:rsid w:val="008E25E3"/>
    <w:rsid w:val="00925B32"/>
    <w:rsid w:val="00945C48"/>
    <w:rsid w:val="00947A26"/>
    <w:rsid w:val="009734DD"/>
    <w:rsid w:val="00993B66"/>
    <w:rsid w:val="009C66BE"/>
    <w:rsid w:val="009D2F11"/>
    <w:rsid w:val="009E61BE"/>
    <w:rsid w:val="009F414B"/>
    <w:rsid w:val="00A341DF"/>
    <w:rsid w:val="00A77A28"/>
    <w:rsid w:val="00AA16D8"/>
    <w:rsid w:val="00AF45B7"/>
    <w:rsid w:val="00B00569"/>
    <w:rsid w:val="00BF6E89"/>
    <w:rsid w:val="00C25607"/>
    <w:rsid w:val="00CF1252"/>
    <w:rsid w:val="00D0692C"/>
    <w:rsid w:val="00D134F6"/>
    <w:rsid w:val="00D1719A"/>
    <w:rsid w:val="00D35E01"/>
    <w:rsid w:val="00D7539A"/>
    <w:rsid w:val="00DE0A6B"/>
    <w:rsid w:val="00E04C41"/>
    <w:rsid w:val="00E155B5"/>
    <w:rsid w:val="00E165BE"/>
    <w:rsid w:val="00E31844"/>
    <w:rsid w:val="00E61146"/>
    <w:rsid w:val="00E818F2"/>
    <w:rsid w:val="00E9759F"/>
    <w:rsid w:val="00EA5DA3"/>
    <w:rsid w:val="00ED12C9"/>
    <w:rsid w:val="00ED3AD1"/>
    <w:rsid w:val="00F0542A"/>
    <w:rsid w:val="00FB479A"/>
    <w:rsid w:val="00FB7B8B"/>
    <w:rsid w:val="00FC3FE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53D01"/>
  <w15:docId w15:val="{5E48E4B5-F048-492B-A30B-F26D055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2A1"/>
    <w:pPr>
      <w:spacing w:after="0" w:line="240" w:lineRule="exact"/>
      <w:jc w:val="both"/>
    </w:pPr>
    <w:rPr>
      <w:rFonts w:ascii="Times New Roman" w:eastAsia="MS Mincho" w:hAnsi="Times New Roman" w:cs="Times New Roman"/>
      <w:sz w:val="20"/>
      <w:szCs w:val="24"/>
      <w:lang w:eastAsia="it-IT"/>
    </w:rPr>
  </w:style>
  <w:style w:type="paragraph" w:styleId="Titolo1">
    <w:name w:val="heading 1"/>
    <w:next w:val="Titolo2"/>
    <w:link w:val="Titolo1Carattere"/>
    <w:qFormat/>
    <w:rsid w:val="002162A1"/>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2162A1"/>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216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162A1"/>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2162A1"/>
    <w:rPr>
      <w:rFonts w:ascii="Times" w:eastAsia="Times New Roman" w:hAnsi="Times" w:cs="Times New Roman"/>
      <w:smallCaps/>
      <w:noProof/>
      <w:sz w:val="18"/>
      <w:szCs w:val="20"/>
      <w:lang w:eastAsia="it-IT"/>
    </w:rPr>
  </w:style>
  <w:style w:type="paragraph" w:customStyle="1" w:styleId="Testo1">
    <w:name w:val="Testo 1"/>
    <w:rsid w:val="002162A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uiPriority w:val="99"/>
    <w:rsid w:val="002162A1"/>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2162A1"/>
    <w:rPr>
      <w:rFonts w:asciiTheme="majorHAnsi" w:eastAsiaTheme="majorEastAsia" w:hAnsiTheme="majorHAnsi" w:cstheme="majorBidi"/>
      <w:color w:val="243F60" w:themeColor="accent1" w:themeShade="7F"/>
      <w:sz w:val="24"/>
      <w:szCs w:val="24"/>
      <w:lang w:eastAsia="it-IT"/>
    </w:rPr>
  </w:style>
  <w:style w:type="paragraph" w:styleId="Paragrafoelenco">
    <w:name w:val="List Paragraph"/>
    <w:basedOn w:val="Normale"/>
    <w:uiPriority w:val="34"/>
    <w:qFormat/>
    <w:rsid w:val="000838D0"/>
    <w:pPr>
      <w:ind w:left="720"/>
      <w:contextualSpacing/>
    </w:pPr>
  </w:style>
  <w:style w:type="character" w:styleId="Collegamentoipertestuale">
    <w:name w:val="Hyperlink"/>
    <w:basedOn w:val="Carpredefinitoparagrafo"/>
    <w:uiPriority w:val="99"/>
    <w:unhideWhenUsed/>
    <w:rsid w:val="00ED3AD1"/>
    <w:rPr>
      <w:color w:val="0000FF" w:themeColor="hyperlink"/>
      <w:u w:val="single"/>
    </w:rPr>
  </w:style>
  <w:style w:type="character" w:customStyle="1" w:styleId="Menzionenonrisolta1">
    <w:name w:val="Menzione non risolta1"/>
    <w:basedOn w:val="Carpredefinitoparagrafo"/>
    <w:uiPriority w:val="99"/>
    <w:semiHidden/>
    <w:unhideWhenUsed/>
    <w:rsid w:val="00ED3AD1"/>
    <w:rPr>
      <w:color w:val="808080"/>
      <w:shd w:val="clear" w:color="auto" w:fill="E6E6E6"/>
    </w:rPr>
  </w:style>
  <w:style w:type="character" w:styleId="Rimandocommento">
    <w:name w:val="annotation reference"/>
    <w:basedOn w:val="Carpredefinitoparagrafo"/>
    <w:uiPriority w:val="99"/>
    <w:semiHidden/>
    <w:unhideWhenUsed/>
    <w:rsid w:val="002E3E99"/>
    <w:rPr>
      <w:sz w:val="16"/>
      <w:szCs w:val="16"/>
    </w:rPr>
  </w:style>
  <w:style w:type="paragraph" w:styleId="Testocommento">
    <w:name w:val="annotation text"/>
    <w:basedOn w:val="Normale"/>
    <w:link w:val="TestocommentoCarattere"/>
    <w:uiPriority w:val="99"/>
    <w:semiHidden/>
    <w:unhideWhenUsed/>
    <w:rsid w:val="002E3E99"/>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E3E99"/>
    <w:rPr>
      <w:rFonts w:ascii="Times New Roman" w:eastAsia="MS Mincho"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E3E99"/>
    <w:rPr>
      <w:b/>
      <w:bCs/>
    </w:rPr>
  </w:style>
  <w:style w:type="character" w:customStyle="1" w:styleId="SoggettocommentoCarattere">
    <w:name w:val="Soggetto commento Carattere"/>
    <w:basedOn w:val="TestocommentoCarattere"/>
    <w:link w:val="Soggettocommento"/>
    <w:uiPriority w:val="99"/>
    <w:semiHidden/>
    <w:rsid w:val="002E3E99"/>
    <w:rPr>
      <w:rFonts w:ascii="Times New Roman" w:eastAsia="MS Mincho"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E3E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3E99"/>
    <w:rPr>
      <w:rFonts w:ascii="Segoe UI" w:eastAsia="MS Mincho" w:hAnsi="Segoe UI" w:cs="Segoe UI"/>
      <w:sz w:val="18"/>
      <w:szCs w:val="18"/>
      <w:lang w:eastAsia="it-IT"/>
    </w:rPr>
  </w:style>
  <w:style w:type="paragraph" w:customStyle="1" w:styleId="CorpoA">
    <w:name w:val="Corpo A"/>
    <w:rsid w:val="004D05F7"/>
    <w:pPr>
      <w:pBdr>
        <w:top w:val="nil"/>
        <w:left w:val="nil"/>
        <w:bottom w:val="nil"/>
        <w:right w:val="nil"/>
        <w:between w:val="nil"/>
        <w:bar w:val="nil"/>
      </w:pBdr>
      <w:tabs>
        <w:tab w:val="left" w:pos="284"/>
      </w:tabs>
      <w:spacing w:after="0" w:line="240" w:lineRule="exact"/>
      <w:jc w:val="both"/>
    </w:pPr>
    <w:rPr>
      <w:rFonts w:ascii="Times" w:eastAsia="Arial Unicode MS" w:hAnsi="Times" w:cs="Arial Unicode MS"/>
      <w:color w:val="000000"/>
      <w:sz w:val="20"/>
      <w:szCs w:val="20"/>
      <w:u w:color="000000"/>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4656">
      <w:bodyDiv w:val="1"/>
      <w:marLeft w:val="0"/>
      <w:marRight w:val="0"/>
      <w:marTop w:val="0"/>
      <w:marBottom w:val="0"/>
      <w:divBdr>
        <w:top w:val="none" w:sz="0" w:space="0" w:color="auto"/>
        <w:left w:val="none" w:sz="0" w:space="0" w:color="auto"/>
        <w:bottom w:val="none" w:sz="0" w:space="0" w:color="auto"/>
        <w:right w:val="none" w:sz="0" w:space="0" w:color="auto"/>
      </w:divBdr>
    </w:div>
    <w:div w:id="860700150">
      <w:bodyDiv w:val="1"/>
      <w:marLeft w:val="0"/>
      <w:marRight w:val="0"/>
      <w:marTop w:val="0"/>
      <w:marBottom w:val="0"/>
      <w:divBdr>
        <w:top w:val="none" w:sz="0" w:space="0" w:color="auto"/>
        <w:left w:val="none" w:sz="0" w:space="0" w:color="auto"/>
        <w:bottom w:val="none" w:sz="0" w:space="0" w:color="auto"/>
        <w:right w:val="none" w:sz="0" w:space="0" w:color="auto"/>
      </w:divBdr>
    </w:div>
    <w:div w:id="16371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Marenghi</dc:creator>
  <cp:keywords/>
  <dc:description/>
  <cp:lastModifiedBy>Minessi Andrea</cp:lastModifiedBy>
  <cp:revision>7</cp:revision>
  <dcterms:created xsi:type="dcterms:W3CDTF">2022-05-16T14:14:00Z</dcterms:created>
  <dcterms:modified xsi:type="dcterms:W3CDTF">2024-03-29T14:42:00Z</dcterms:modified>
</cp:coreProperties>
</file>