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8C97" w14:textId="09E7DF72" w:rsidR="00E87ABD" w:rsidRPr="00857894" w:rsidRDefault="00301A04">
      <w:pPr>
        <w:pStyle w:val="Titolo1"/>
        <w:rPr>
          <w:rFonts w:hint="eastAsia"/>
          <w:lang w:val="en-GB"/>
        </w:rPr>
      </w:pPr>
      <w:r w:rsidRPr="00857894">
        <w:rPr>
          <w:lang w:val="en-GB"/>
        </w:rPr>
        <w:t>European International Trade Law</w:t>
      </w:r>
    </w:p>
    <w:p w14:paraId="48D53461" w14:textId="304AD7D9" w:rsidR="00E87ABD" w:rsidRPr="008B2FFE" w:rsidRDefault="00301A04">
      <w:pPr>
        <w:pStyle w:val="Titolo2"/>
        <w:rPr>
          <w:rFonts w:hint="eastAsia"/>
          <w:lang w:val="en-GB"/>
        </w:rPr>
      </w:pPr>
      <w:r w:rsidRPr="00857894">
        <w:rPr>
          <w:lang w:val="en-GB"/>
        </w:rPr>
        <w:t xml:space="preserve">Prof. </w:t>
      </w:r>
      <w:r w:rsidRPr="008B2FFE">
        <w:rPr>
          <w:lang w:val="en-GB"/>
        </w:rPr>
        <w:t>Vera Squaratti</w:t>
      </w:r>
    </w:p>
    <w:p w14:paraId="36473791" w14:textId="5D7E451D" w:rsidR="00E87ABD" w:rsidRPr="00857894" w:rsidRDefault="00301A04">
      <w:pPr>
        <w:pStyle w:val="P68B1DB1-Normale1"/>
        <w:spacing w:before="240" w:after="120"/>
        <w:rPr>
          <w:rFonts w:hint="eastAsia"/>
          <w:lang w:val="en-GB"/>
        </w:rPr>
      </w:pPr>
      <w:r w:rsidRPr="00857894">
        <w:rPr>
          <w:lang w:val="en-GB"/>
        </w:rPr>
        <w:t>COURSE AIMS AND INTENDED LEARNING OUTCOMES</w:t>
      </w:r>
    </w:p>
    <w:p w14:paraId="652B96B5" w14:textId="359299BE" w:rsidR="00E87ABD" w:rsidRPr="00301A04" w:rsidRDefault="00301A04">
      <w:pPr>
        <w:pStyle w:val="P68B1DB1-Normale2"/>
        <w:rPr>
          <w:rFonts w:hint="eastAsia"/>
          <w:sz w:val="18"/>
          <w:szCs w:val="18"/>
          <w:lang w:val="en-GB"/>
        </w:rPr>
      </w:pPr>
      <w:r w:rsidRPr="00301A04">
        <w:rPr>
          <w:sz w:val="18"/>
          <w:szCs w:val="18"/>
          <w:lang w:val="en-GB"/>
        </w:rPr>
        <w:t>COURSE AIMS</w:t>
      </w:r>
    </w:p>
    <w:p w14:paraId="54418035" w14:textId="77777777" w:rsidR="00E87ABD" w:rsidRPr="00087FE1" w:rsidRDefault="00301A04">
      <w:pPr>
        <w:pStyle w:val="P68B1DB1-Normale3"/>
        <w:rPr>
          <w:rFonts w:eastAsia="Times New Roman" w:cs="Times New Roman"/>
          <w:highlight w:val="none"/>
          <w:lang w:val="en-GB"/>
        </w:rPr>
      </w:pPr>
      <w:r w:rsidRPr="00087FE1">
        <w:rPr>
          <w:highlight w:val="none"/>
          <w:lang w:val="en-GB"/>
        </w:rPr>
        <w:t>The course in European International Trade Law pursues the following objectives:</w:t>
      </w:r>
    </w:p>
    <w:p w14:paraId="6FE06504" w14:textId="45DE51B2" w:rsidR="00E87ABD" w:rsidRPr="00087FE1" w:rsidRDefault="00301A04">
      <w:pPr>
        <w:pStyle w:val="P68B1DB1-Normale4"/>
        <w:numPr>
          <w:ilvl w:val="0"/>
          <w:numId w:val="2"/>
        </w:numPr>
        <w:rPr>
          <w:rFonts w:hint="eastAsia"/>
          <w:highlight w:val="none"/>
          <w:lang w:val="en-GB"/>
        </w:rPr>
      </w:pPr>
      <w:r w:rsidRPr="00087FE1">
        <w:rPr>
          <w:rFonts w:ascii="Times New Roman" w:hAnsi="Times New Roman"/>
          <w:highlight w:val="none"/>
          <w:lang w:val="en-GB"/>
        </w:rPr>
        <w:t>provide an in-depth study of the</w:t>
      </w:r>
      <w:r w:rsidR="00857894" w:rsidRPr="00087FE1">
        <w:rPr>
          <w:rFonts w:ascii="Times New Roman" w:hAnsi="Times New Roman"/>
          <w:highlight w:val="none"/>
          <w:lang w:val="en-GB"/>
        </w:rPr>
        <w:t xml:space="preserve"> </w:t>
      </w:r>
      <w:r w:rsidRPr="00087FE1">
        <w:rPr>
          <w:highlight w:val="none"/>
          <w:lang w:val="en-GB"/>
        </w:rPr>
        <w:t>EU regulation of trade in goods and services, by addressing the law of the European internal market and the regulation of trade with third states;</w:t>
      </w:r>
    </w:p>
    <w:p w14:paraId="0E903CA6" w14:textId="77777777" w:rsidR="00E87ABD" w:rsidRPr="00087FE1" w:rsidRDefault="00301A04">
      <w:pPr>
        <w:pStyle w:val="P68B1DB1-Normale4"/>
        <w:numPr>
          <w:ilvl w:val="0"/>
          <w:numId w:val="2"/>
        </w:numPr>
        <w:rPr>
          <w:rFonts w:hint="eastAsia"/>
          <w:highlight w:val="none"/>
          <w:lang w:val="en-GB"/>
        </w:rPr>
      </w:pPr>
      <w:r w:rsidRPr="00087FE1">
        <w:rPr>
          <w:highlight w:val="none"/>
          <w:lang w:val="en-GB"/>
        </w:rPr>
        <w:t>analyse EU policies in the context of trade in goods and services, by addressing the law of the European internal market and the regulation of trade with third countries, in relation to the EU institutional framework, the sources of EU law and their relevance in the internal legal systems of the Member States;</w:t>
      </w:r>
    </w:p>
    <w:p w14:paraId="4E7358E3" w14:textId="77777777" w:rsidR="00E87ABD" w:rsidRPr="00087FE1" w:rsidRDefault="00301A04">
      <w:pPr>
        <w:pStyle w:val="P68B1DB1-Normale4"/>
        <w:numPr>
          <w:ilvl w:val="0"/>
          <w:numId w:val="2"/>
        </w:numPr>
        <w:rPr>
          <w:rFonts w:hint="eastAsia"/>
          <w:highlight w:val="none"/>
          <w:lang w:val="en-GB"/>
        </w:rPr>
      </w:pPr>
      <w:r w:rsidRPr="00087FE1">
        <w:rPr>
          <w:highlight w:val="none"/>
          <w:lang w:val="en-GB"/>
        </w:rPr>
        <w:t>examine the profiles of customs law, which are of considerable importance for those who are destined to operate in the sector of importing and exporting goods.</w:t>
      </w:r>
    </w:p>
    <w:p w14:paraId="3A25D93A" w14:textId="77777777" w:rsidR="00E87ABD" w:rsidRPr="00087FE1" w:rsidRDefault="00301A04">
      <w:pPr>
        <w:rPr>
          <w:rFonts w:hint="eastAsia"/>
          <w:b/>
          <w:i/>
          <w:sz w:val="18"/>
          <w:lang w:val="en-GB"/>
        </w:rPr>
      </w:pPr>
      <w:r w:rsidRPr="00087FE1">
        <w:rPr>
          <w:lang w:val="en-GB"/>
        </w:rPr>
        <w:t xml:space="preserve">The issues will be addressed using a constant comparison with the rules of international trade law, with particular regard to the rules of the World Trade Organization (WTO), free trade and customs union agreements, as well as, in particular, the regulation of trade defence measures. </w:t>
      </w:r>
    </w:p>
    <w:p w14:paraId="590B5AF6" w14:textId="77777777" w:rsidR="00E87ABD" w:rsidRPr="00087FE1" w:rsidRDefault="00E87ABD">
      <w:pPr>
        <w:rPr>
          <w:rFonts w:hint="eastAsia"/>
          <w:lang w:val="en-GB"/>
        </w:rPr>
      </w:pPr>
    </w:p>
    <w:p w14:paraId="23AD87DB" w14:textId="551AF506" w:rsidR="00E87ABD" w:rsidRPr="00087FE1" w:rsidRDefault="00301A04" w:rsidP="00301A04">
      <w:pPr>
        <w:pStyle w:val="P68B1DB1-Normale5"/>
        <w:tabs>
          <w:tab w:val="clear" w:pos="284"/>
        </w:tabs>
        <w:spacing w:after="120"/>
        <w:jc w:val="left"/>
        <w:rPr>
          <w:rFonts w:eastAsia="Times New Roman" w:cs="Times New Roman"/>
          <w:lang w:val="en-GB"/>
        </w:rPr>
      </w:pPr>
      <w:r w:rsidRPr="00087FE1">
        <w:rPr>
          <w:lang w:val="en-GB"/>
        </w:rPr>
        <w:t>INTENDED LEARNING OUTCOMES</w:t>
      </w:r>
    </w:p>
    <w:p w14:paraId="53419308" w14:textId="77777777" w:rsidR="00E87ABD" w:rsidRPr="00087FE1" w:rsidRDefault="00301A04">
      <w:pPr>
        <w:pStyle w:val="P68B1DB1-Normale6"/>
        <w:tabs>
          <w:tab w:val="clear" w:pos="284"/>
        </w:tabs>
        <w:jc w:val="left"/>
        <w:rPr>
          <w:rFonts w:eastAsia="Times New Roman" w:cs="Times New Roman"/>
          <w:highlight w:val="none"/>
          <w:lang w:val="en-GB"/>
        </w:rPr>
      </w:pPr>
      <w:r w:rsidRPr="00087FE1">
        <w:rPr>
          <w:highlight w:val="none"/>
          <w:lang w:val="en-GB"/>
        </w:rPr>
        <w:t>Knowledge and understanding</w:t>
      </w:r>
    </w:p>
    <w:p w14:paraId="15B275C5" w14:textId="77777777" w:rsidR="00E87ABD" w:rsidRPr="00087FE1" w:rsidRDefault="00301A04">
      <w:pPr>
        <w:pStyle w:val="P68B1DB1-Normale3"/>
        <w:tabs>
          <w:tab w:val="clear" w:pos="284"/>
        </w:tabs>
        <w:jc w:val="left"/>
        <w:rPr>
          <w:rFonts w:eastAsia="Times New Roman" w:cs="Times New Roman"/>
          <w:highlight w:val="none"/>
          <w:lang w:val="en-GB"/>
        </w:rPr>
      </w:pPr>
      <w:r w:rsidRPr="00087FE1">
        <w:rPr>
          <w:highlight w:val="none"/>
          <w:lang w:val="en-GB"/>
        </w:rPr>
        <w:t>At the end of the course, students will be able to understand:</w:t>
      </w:r>
    </w:p>
    <w:p w14:paraId="7A5CD490" w14:textId="77777777" w:rsidR="00E87ABD" w:rsidRPr="00087FE1" w:rsidRDefault="00301A04">
      <w:pPr>
        <w:pStyle w:val="P68B1DB1-Normale7"/>
        <w:numPr>
          <w:ilvl w:val="0"/>
          <w:numId w:val="4"/>
        </w:numPr>
        <w:jc w:val="left"/>
        <w:rPr>
          <w:highlight w:val="none"/>
          <w:lang w:val="en-GB"/>
        </w:rPr>
      </w:pPr>
      <w:r w:rsidRPr="00087FE1">
        <w:rPr>
          <w:highlight w:val="none"/>
          <w:lang w:val="en-GB"/>
        </w:rPr>
        <w:t>the system of trade in goods and services within the context of the European Union internal market;</w:t>
      </w:r>
    </w:p>
    <w:p w14:paraId="56539BE3" w14:textId="77777777" w:rsidR="00E87ABD" w:rsidRPr="00087FE1" w:rsidRDefault="00301A04">
      <w:pPr>
        <w:pStyle w:val="P68B1DB1-Normale7"/>
        <w:numPr>
          <w:ilvl w:val="0"/>
          <w:numId w:val="4"/>
        </w:numPr>
        <w:jc w:val="left"/>
        <w:rPr>
          <w:highlight w:val="none"/>
          <w:lang w:val="en-GB"/>
        </w:rPr>
      </w:pPr>
      <w:r w:rsidRPr="00087FE1">
        <w:rPr>
          <w:highlight w:val="none"/>
          <w:lang w:val="en-GB"/>
        </w:rPr>
        <w:t>the regulation of trade in goods and services with third states;</w:t>
      </w:r>
    </w:p>
    <w:p w14:paraId="60902BCE" w14:textId="77777777" w:rsidR="00E87ABD" w:rsidRPr="00087FE1" w:rsidRDefault="00301A04">
      <w:pPr>
        <w:pStyle w:val="P68B1DB1-Normale7"/>
        <w:numPr>
          <w:ilvl w:val="0"/>
          <w:numId w:val="4"/>
        </w:numPr>
        <w:rPr>
          <w:highlight w:val="none"/>
          <w:lang w:val="en-GB"/>
        </w:rPr>
      </w:pPr>
      <w:r w:rsidRPr="00087FE1">
        <w:rPr>
          <w:highlight w:val="none"/>
          <w:lang w:val="en-GB"/>
        </w:rPr>
        <w:t>the regulation of international trade relations, with particular reference to customs regulations.</w:t>
      </w:r>
    </w:p>
    <w:p w14:paraId="15ED5D99" w14:textId="77777777" w:rsidR="00E87ABD" w:rsidRPr="00087FE1" w:rsidRDefault="00E87ABD">
      <w:pPr>
        <w:tabs>
          <w:tab w:val="clear" w:pos="284"/>
        </w:tabs>
        <w:jc w:val="left"/>
        <w:rPr>
          <w:rFonts w:ascii="Times New Roman" w:eastAsia="Times New Roman" w:hAnsi="Times New Roman" w:cs="Times New Roman"/>
          <w:lang w:val="en-GB"/>
        </w:rPr>
      </w:pPr>
    </w:p>
    <w:p w14:paraId="4E2C6F4D" w14:textId="77777777" w:rsidR="00E87ABD" w:rsidRPr="00087FE1" w:rsidRDefault="00301A04">
      <w:pPr>
        <w:pStyle w:val="P68B1DB1-Normale6"/>
        <w:tabs>
          <w:tab w:val="clear" w:pos="284"/>
        </w:tabs>
        <w:jc w:val="left"/>
        <w:rPr>
          <w:rFonts w:eastAsia="Times New Roman" w:cs="Times New Roman"/>
          <w:highlight w:val="none"/>
          <w:lang w:val="en-GB"/>
        </w:rPr>
      </w:pPr>
      <w:r w:rsidRPr="00087FE1">
        <w:rPr>
          <w:highlight w:val="none"/>
          <w:lang w:val="en-GB"/>
        </w:rPr>
        <w:t>Ability to apply knowledge and understanding</w:t>
      </w:r>
    </w:p>
    <w:p w14:paraId="19B6CA12" w14:textId="77777777" w:rsidR="00E87ABD" w:rsidRPr="00087FE1" w:rsidRDefault="00301A04">
      <w:pPr>
        <w:pStyle w:val="P68B1DB1-Normale3"/>
        <w:tabs>
          <w:tab w:val="clear" w:pos="284"/>
        </w:tabs>
        <w:jc w:val="left"/>
        <w:rPr>
          <w:rFonts w:eastAsia="Times New Roman" w:cs="Times New Roman"/>
          <w:highlight w:val="none"/>
          <w:lang w:val="en-GB"/>
        </w:rPr>
      </w:pPr>
      <w:r w:rsidRPr="00087FE1">
        <w:rPr>
          <w:highlight w:val="none"/>
          <w:lang w:val="en-GB"/>
        </w:rPr>
        <w:t xml:space="preserve">At the end of the course, students will be able to: </w:t>
      </w:r>
    </w:p>
    <w:p w14:paraId="1472DA00" w14:textId="40FA7673" w:rsidR="00E87ABD" w:rsidRPr="00087FE1" w:rsidRDefault="00301A04">
      <w:pPr>
        <w:pStyle w:val="P68B1DB1-Normale7"/>
        <w:numPr>
          <w:ilvl w:val="0"/>
          <w:numId w:val="6"/>
        </w:numPr>
        <w:rPr>
          <w:highlight w:val="none"/>
          <w:lang w:val="en-GB"/>
        </w:rPr>
      </w:pPr>
      <w:r w:rsidRPr="00087FE1">
        <w:rPr>
          <w:highlight w:val="none"/>
          <w:lang w:val="en-GB"/>
        </w:rPr>
        <w:t>analyse and interpret the sources of European Union law relating to trade in goods within the context of the European Union internal market;</w:t>
      </w:r>
    </w:p>
    <w:p w14:paraId="1521F417" w14:textId="77777777" w:rsidR="00E87ABD" w:rsidRPr="00087FE1" w:rsidRDefault="00301A04">
      <w:pPr>
        <w:pStyle w:val="P68B1DB1-Normale7"/>
        <w:numPr>
          <w:ilvl w:val="0"/>
          <w:numId w:val="6"/>
        </w:numPr>
        <w:rPr>
          <w:highlight w:val="none"/>
          <w:lang w:val="en-GB"/>
        </w:rPr>
      </w:pPr>
      <w:r w:rsidRPr="00087FE1">
        <w:rPr>
          <w:highlight w:val="none"/>
          <w:lang w:val="en-GB"/>
        </w:rPr>
        <w:t>analyse the acts of the European institutions and, in particular, the case law of the Court of Justice;</w:t>
      </w:r>
    </w:p>
    <w:p w14:paraId="529DD1C6" w14:textId="77777777" w:rsidR="00E87ABD" w:rsidRPr="00087FE1" w:rsidRDefault="00301A04">
      <w:pPr>
        <w:pStyle w:val="P68B1DB1-Normale7"/>
        <w:numPr>
          <w:ilvl w:val="0"/>
          <w:numId w:val="6"/>
        </w:numPr>
        <w:rPr>
          <w:highlight w:val="none"/>
          <w:lang w:val="en-GB"/>
        </w:rPr>
      </w:pPr>
      <w:r w:rsidRPr="00087FE1">
        <w:rPr>
          <w:highlight w:val="none"/>
          <w:lang w:val="en-GB"/>
        </w:rPr>
        <w:lastRenderedPageBreak/>
        <w:t>assess the compliance of the rules of the domestic legal systems of the EU Member States with international obligations;</w:t>
      </w:r>
    </w:p>
    <w:p w14:paraId="0B857459" w14:textId="77777777" w:rsidR="00E87ABD" w:rsidRPr="00087FE1" w:rsidRDefault="00301A04">
      <w:pPr>
        <w:pStyle w:val="P68B1DB1-Normale7"/>
        <w:numPr>
          <w:ilvl w:val="0"/>
          <w:numId w:val="6"/>
        </w:numPr>
        <w:rPr>
          <w:highlight w:val="none"/>
          <w:lang w:val="en-GB"/>
        </w:rPr>
      </w:pPr>
      <w:r w:rsidRPr="00087FE1">
        <w:rPr>
          <w:highlight w:val="none"/>
          <w:lang w:val="en-GB"/>
        </w:rPr>
        <w:t>identify and apply the customs rules applicable to international trade.</w:t>
      </w:r>
    </w:p>
    <w:p w14:paraId="19CD1E86" w14:textId="27A204CF" w:rsidR="00E87ABD" w:rsidRPr="00087FE1" w:rsidRDefault="00301A04">
      <w:pPr>
        <w:pStyle w:val="P68B1DB1-Normale1"/>
        <w:spacing w:before="240" w:after="120"/>
        <w:rPr>
          <w:rFonts w:hint="eastAsia"/>
          <w:lang w:val="en-GB"/>
        </w:rPr>
      </w:pPr>
      <w:r w:rsidRPr="00087FE1">
        <w:rPr>
          <w:lang w:val="en-GB"/>
        </w:rPr>
        <w:t>COURSE CONTENT</w:t>
      </w:r>
    </w:p>
    <w:p w14:paraId="6D18CA40" w14:textId="77777777" w:rsidR="00E87ABD" w:rsidRPr="00087FE1" w:rsidRDefault="00301A04">
      <w:pPr>
        <w:pStyle w:val="P68B1DB1-Normale4"/>
        <w:keepNext/>
        <w:rPr>
          <w:rFonts w:hint="eastAsia"/>
          <w:highlight w:val="none"/>
          <w:lang w:val="en-GB"/>
        </w:rPr>
      </w:pPr>
      <w:r w:rsidRPr="00087FE1">
        <w:rPr>
          <w:highlight w:val="none"/>
          <w:lang w:val="en-GB"/>
        </w:rPr>
        <w:t xml:space="preserve">During the course, the following topics will be addressed and explored: </w:t>
      </w:r>
    </w:p>
    <w:p w14:paraId="6B13F5B4" w14:textId="77777777" w:rsidR="00E87ABD" w:rsidRPr="00087FE1" w:rsidRDefault="00301A04">
      <w:pPr>
        <w:pStyle w:val="P68B1DB1-Normale4"/>
        <w:keepNext/>
        <w:numPr>
          <w:ilvl w:val="0"/>
          <w:numId w:val="2"/>
        </w:numPr>
        <w:rPr>
          <w:rFonts w:hint="eastAsia"/>
          <w:highlight w:val="none"/>
          <w:lang w:val="en-GB"/>
        </w:rPr>
      </w:pPr>
      <w:r w:rsidRPr="00087FE1">
        <w:rPr>
          <w:highlight w:val="none"/>
          <w:lang w:val="en-GB"/>
        </w:rPr>
        <w:t>the European Union as a customs union and the difference with respect to free trade agreements;</w:t>
      </w:r>
    </w:p>
    <w:p w14:paraId="77C5EF5A" w14:textId="77777777" w:rsidR="00E87ABD" w:rsidRPr="00087FE1" w:rsidRDefault="00301A04">
      <w:pPr>
        <w:pStyle w:val="P68B1DB1-Normale4"/>
        <w:keepNext/>
        <w:numPr>
          <w:ilvl w:val="0"/>
          <w:numId w:val="2"/>
        </w:numPr>
        <w:rPr>
          <w:rFonts w:hint="eastAsia"/>
          <w:highlight w:val="none"/>
          <w:lang w:val="en-GB"/>
        </w:rPr>
      </w:pPr>
      <w:r w:rsidRPr="00087FE1">
        <w:rPr>
          <w:highlight w:val="none"/>
          <w:lang w:val="en-GB"/>
        </w:rPr>
        <w:t>the EU Customs Tariff;</w:t>
      </w:r>
    </w:p>
    <w:p w14:paraId="7F7C3E5C" w14:textId="77777777" w:rsidR="00E87ABD" w:rsidRPr="00087FE1" w:rsidRDefault="00301A04">
      <w:pPr>
        <w:pStyle w:val="P68B1DB1-Normale4"/>
        <w:keepNext/>
        <w:numPr>
          <w:ilvl w:val="0"/>
          <w:numId w:val="2"/>
        </w:numPr>
        <w:rPr>
          <w:rFonts w:hint="eastAsia"/>
          <w:highlight w:val="none"/>
          <w:lang w:val="en-GB"/>
        </w:rPr>
      </w:pPr>
      <w:r w:rsidRPr="00087FE1">
        <w:rPr>
          <w:highlight w:val="none"/>
          <w:lang w:val="en-GB"/>
        </w:rPr>
        <w:t>the exclusive competence of the EU in the field of trade policy;</w:t>
      </w:r>
    </w:p>
    <w:p w14:paraId="5C715A90" w14:textId="77777777" w:rsidR="00E87ABD" w:rsidRPr="00087FE1" w:rsidRDefault="00301A04">
      <w:pPr>
        <w:pStyle w:val="P68B1DB1-Normale4"/>
        <w:keepNext/>
        <w:numPr>
          <w:ilvl w:val="0"/>
          <w:numId w:val="2"/>
        </w:numPr>
        <w:rPr>
          <w:rFonts w:hint="eastAsia"/>
          <w:highlight w:val="none"/>
          <w:lang w:val="en-GB"/>
        </w:rPr>
      </w:pPr>
      <w:r w:rsidRPr="00087FE1">
        <w:rPr>
          <w:highlight w:val="none"/>
          <w:lang w:val="en-GB"/>
        </w:rPr>
        <w:t>the trade regime with developing countries;</w:t>
      </w:r>
    </w:p>
    <w:p w14:paraId="03AC2BFF" w14:textId="77777777" w:rsidR="00E87ABD" w:rsidRPr="00087FE1" w:rsidRDefault="00301A04">
      <w:pPr>
        <w:pStyle w:val="P68B1DB1-Normale4"/>
        <w:keepNext/>
        <w:numPr>
          <w:ilvl w:val="0"/>
          <w:numId w:val="2"/>
        </w:numPr>
        <w:rPr>
          <w:rFonts w:hint="eastAsia"/>
          <w:highlight w:val="none"/>
          <w:lang w:val="en-GB"/>
        </w:rPr>
      </w:pPr>
      <w:r w:rsidRPr="00087FE1">
        <w:rPr>
          <w:highlight w:val="none"/>
          <w:lang w:val="en-GB"/>
        </w:rPr>
        <w:t>the EU and the WTO: trade defence measures;</w:t>
      </w:r>
    </w:p>
    <w:p w14:paraId="7F207567" w14:textId="77777777" w:rsidR="00E87ABD" w:rsidRPr="00087FE1" w:rsidRDefault="00301A04">
      <w:pPr>
        <w:pStyle w:val="P68B1DB1-Normale4"/>
        <w:keepNext/>
        <w:numPr>
          <w:ilvl w:val="0"/>
          <w:numId w:val="2"/>
        </w:numPr>
        <w:rPr>
          <w:rFonts w:hint="eastAsia"/>
          <w:highlight w:val="none"/>
          <w:lang w:val="en-GB"/>
        </w:rPr>
      </w:pPr>
      <w:r w:rsidRPr="00087FE1">
        <w:rPr>
          <w:highlight w:val="none"/>
          <w:lang w:val="en-GB"/>
        </w:rPr>
        <w:t>to improve the free movement of goods within the EU internal market;</w:t>
      </w:r>
    </w:p>
    <w:p w14:paraId="1B44F139" w14:textId="77777777" w:rsidR="00E87ABD" w:rsidRPr="00087FE1" w:rsidRDefault="00301A04">
      <w:pPr>
        <w:pStyle w:val="P68B1DB1-Normale4"/>
        <w:keepNext/>
        <w:numPr>
          <w:ilvl w:val="0"/>
          <w:numId w:val="2"/>
        </w:numPr>
        <w:rPr>
          <w:rFonts w:hint="eastAsia"/>
          <w:highlight w:val="none"/>
          <w:lang w:val="en-GB"/>
        </w:rPr>
      </w:pPr>
      <w:r w:rsidRPr="00087FE1">
        <w:rPr>
          <w:highlight w:val="none"/>
          <w:lang w:val="en-GB"/>
        </w:rPr>
        <w:t>EU case law relating to the free movement of goods;</w:t>
      </w:r>
    </w:p>
    <w:p w14:paraId="3EE6D479" w14:textId="77777777" w:rsidR="00E87ABD" w:rsidRPr="00087FE1" w:rsidRDefault="00301A04">
      <w:pPr>
        <w:pStyle w:val="P68B1DB1-Normale4"/>
        <w:keepNext/>
        <w:numPr>
          <w:ilvl w:val="0"/>
          <w:numId w:val="2"/>
        </w:numPr>
        <w:rPr>
          <w:rFonts w:hint="eastAsia"/>
          <w:highlight w:val="none"/>
          <w:lang w:val="en-GB"/>
        </w:rPr>
      </w:pPr>
      <w:r w:rsidRPr="00087FE1">
        <w:rPr>
          <w:highlight w:val="none"/>
          <w:lang w:val="en-GB"/>
        </w:rPr>
        <w:t>other freedoms of movement within the internal market.</w:t>
      </w:r>
    </w:p>
    <w:p w14:paraId="38720BB6" w14:textId="046ACF39" w:rsidR="00E87ABD" w:rsidRPr="00087FE1" w:rsidRDefault="00301A04">
      <w:pPr>
        <w:keepNext/>
        <w:spacing w:before="240" w:after="120"/>
        <w:rPr>
          <w:rFonts w:hint="eastAsia"/>
          <w:b/>
          <w:i/>
          <w:sz w:val="18"/>
          <w:lang w:val="en-GB"/>
        </w:rPr>
      </w:pPr>
      <w:r w:rsidRPr="00087FE1">
        <w:rPr>
          <w:b/>
          <w:i/>
          <w:sz w:val="18"/>
          <w:lang w:val="en-GB"/>
        </w:rPr>
        <w:t>READING LIST</w:t>
      </w:r>
      <w:r w:rsidRPr="00087FE1">
        <w:rPr>
          <w:rStyle w:val="Rimandonotaapidipagina"/>
          <w:b/>
          <w:i/>
          <w:sz w:val="18"/>
          <w:lang w:val="en-GB"/>
        </w:rPr>
        <w:footnoteReference w:id="1"/>
      </w:r>
    </w:p>
    <w:p w14:paraId="0A381239" w14:textId="77777777" w:rsidR="00E87ABD" w:rsidRPr="00087FE1" w:rsidRDefault="00301A04">
      <w:pPr>
        <w:pStyle w:val="P68B1DB1-Normale8"/>
        <w:keepNext/>
        <w:spacing w:before="240" w:after="120"/>
        <w:rPr>
          <w:highlight w:val="none"/>
          <w:lang w:val="en-GB"/>
        </w:rPr>
      </w:pPr>
      <w:r w:rsidRPr="00087FE1">
        <w:rPr>
          <w:highlight w:val="none"/>
          <w:lang w:val="en-GB"/>
        </w:rPr>
        <w:t>It is compulsory to study the following text:</w:t>
      </w:r>
    </w:p>
    <w:p w14:paraId="76EB2323" w14:textId="7CF0EE8E" w:rsidR="00E87ABD" w:rsidRPr="00087FE1" w:rsidRDefault="00301A04">
      <w:pPr>
        <w:tabs>
          <w:tab w:val="clear" w:pos="284"/>
        </w:tabs>
        <w:rPr>
          <w:rFonts w:ascii="Times New Roman" w:hAnsi="Times New Roman" w:cs="Times New Roman"/>
          <w:sz w:val="18"/>
          <w:lang w:val="en-GB"/>
        </w:rPr>
      </w:pPr>
      <w:r w:rsidRPr="00087FE1">
        <w:rPr>
          <w:rFonts w:ascii="Times New Roman" w:hAnsi="Times New Roman" w:cs="Times New Roman"/>
          <w:smallCaps/>
          <w:sz w:val="16"/>
          <w:lang w:val="it-IT"/>
        </w:rPr>
        <w:t>A. Arena - F. Bestagno- G. Rossolillo</w:t>
      </w:r>
      <w:r w:rsidRPr="00087FE1">
        <w:rPr>
          <w:rFonts w:ascii="Times New Roman" w:hAnsi="Times New Roman" w:cs="Times New Roman"/>
          <w:b/>
          <w:smallCaps/>
          <w:sz w:val="18"/>
          <w:lang w:val="it-IT"/>
        </w:rPr>
        <w:t xml:space="preserve">, </w:t>
      </w:r>
      <w:r w:rsidRPr="00087FE1">
        <w:rPr>
          <w:rFonts w:ascii="Times New Roman" w:hAnsi="Times New Roman" w:cs="Times New Roman"/>
          <w:i/>
          <w:sz w:val="18"/>
          <w:lang w:val="it-IT"/>
        </w:rPr>
        <w:t>Mercato unico e libertà di circolazione nell’Unione europea</w:t>
      </w:r>
      <w:r w:rsidRPr="00087FE1">
        <w:rPr>
          <w:rFonts w:ascii="Times New Roman" w:hAnsi="Times New Roman" w:cs="Times New Roman"/>
          <w:sz w:val="18"/>
          <w:lang w:val="it-IT"/>
        </w:rPr>
        <w:t xml:space="preserve">, Giappichelli, 2020, 2nd ed., of which the following pages are to be studied: pp. 1-160; 221-240; 273-287; 293-299. </w:t>
      </w:r>
      <w:r w:rsidRPr="00087FE1">
        <w:rPr>
          <w:rFonts w:ascii="Times New Roman" w:hAnsi="Times New Roman" w:cs="Times New Roman"/>
          <w:sz w:val="18"/>
          <w:lang w:val="en-GB"/>
        </w:rPr>
        <w:t xml:space="preserve">In the pages indicated, all the Comments will be covered in the exam, as well as only the judgments indicated below as </w:t>
      </w:r>
      <w:r w:rsidRPr="00087FE1">
        <w:rPr>
          <w:rFonts w:ascii="Times New Roman" w:hAnsi="Times New Roman" w:cs="Times New Roman"/>
          <w:sz w:val="18"/>
          <w:u w:val="single"/>
          <w:lang w:val="en-GB"/>
        </w:rPr>
        <w:t>judgments relating to the second edition</w:t>
      </w:r>
      <w:r w:rsidRPr="00087FE1">
        <w:rPr>
          <w:rFonts w:ascii="Times New Roman" w:hAnsi="Times New Roman" w:cs="Times New Roman"/>
          <w:sz w:val="18"/>
          <w:lang w:val="en-GB"/>
        </w:rPr>
        <w:t xml:space="preserve">; on the other hand, the rules contained in the book are not intended for study, and their consultation is simply recommended to better understand the Comments in the chapters and judgments. </w:t>
      </w:r>
      <w:hyperlink r:id="rId8">
        <w:r w:rsidRPr="00087FE1">
          <w:rPr>
            <w:rStyle w:val="Collegamentoipertestuale"/>
            <w:rFonts w:ascii="Times New Roman" w:hAnsi="Times New Roman" w:cs="Times New Roman"/>
            <w:sz w:val="18"/>
            <w:lang w:val="en-GB"/>
          </w:rPr>
          <w:t>Purchase from V&amp;P</w:t>
        </w:r>
      </w:hyperlink>
      <w:r w:rsidR="00857894" w:rsidRPr="00087FE1">
        <w:rPr>
          <w:rStyle w:val="Collegamentoipertestuale"/>
          <w:rFonts w:ascii="Times New Roman" w:hAnsi="Times New Roman" w:cs="Times New Roman"/>
          <w:sz w:val="18"/>
          <w:lang w:val="en-GB"/>
        </w:rPr>
        <w:t>.</w:t>
      </w:r>
    </w:p>
    <w:p w14:paraId="35AFDB78" w14:textId="2E9BA991" w:rsidR="00E87ABD" w:rsidRPr="00087FE1" w:rsidRDefault="00301A04">
      <w:pPr>
        <w:pStyle w:val="P68B1DB1-Normale9"/>
        <w:spacing w:before="240" w:after="120" w:line="220" w:lineRule="exact"/>
        <w:rPr>
          <w:lang w:val="en-GB"/>
        </w:rPr>
      </w:pPr>
      <w:r w:rsidRPr="00087FE1">
        <w:rPr>
          <w:lang w:val="en-GB"/>
        </w:rPr>
        <w:t>TEACHING METHOD</w:t>
      </w:r>
    </w:p>
    <w:p w14:paraId="368357D9" w14:textId="28D4BABB" w:rsidR="00E87ABD" w:rsidRPr="00087FE1" w:rsidRDefault="00301A04">
      <w:pPr>
        <w:pStyle w:val="P68B1DB1-Normale10"/>
        <w:spacing w:before="240" w:after="120"/>
        <w:rPr>
          <w:lang w:val="en-GB"/>
        </w:rPr>
      </w:pPr>
      <w:r w:rsidRPr="00087FE1">
        <w:rPr>
          <w:lang w:val="en-GB"/>
        </w:rPr>
        <w:t xml:space="preserve">The teaching method chosen involves mainly lectures, with the discussion of practical cases under the guidance of the lecturer and the examination of materials partly in English. In particular, a series of WTO rules, EU law and Italian law relating to customs operations, trade in the EU internal market, and international trade in goods and services will be analysed during lectures. In addition to this regulatory material, a series of judgments by the EU Court of Justice relating to the internal market and international trade will be analysed. </w:t>
      </w:r>
    </w:p>
    <w:p w14:paraId="67CDDDB8" w14:textId="06E69726" w:rsidR="00E87ABD" w:rsidRPr="00087FE1" w:rsidRDefault="00301A04">
      <w:pPr>
        <w:pStyle w:val="P68B1DB1-Normale9"/>
        <w:spacing w:before="240" w:after="120" w:line="220" w:lineRule="exact"/>
        <w:rPr>
          <w:lang w:val="en-GB"/>
        </w:rPr>
      </w:pPr>
      <w:r w:rsidRPr="00087FE1">
        <w:rPr>
          <w:lang w:val="en-GB"/>
        </w:rPr>
        <w:lastRenderedPageBreak/>
        <w:t>ASSESSMENT METHOD AND CRITERIA</w:t>
      </w:r>
    </w:p>
    <w:p w14:paraId="5FBFDD65" w14:textId="77777777" w:rsidR="00E87ABD" w:rsidRPr="00087FE1" w:rsidRDefault="00301A04">
      <w:pPr>
        <w:pStyle w:val="P68B1DB1-Normale8"/>
        <w:tabs>
          <w:tab w:val="clear" w:pos="284"/>
        </w:tabs>
        <w:ind w:left="284" w:hanging="284"/>
        <w:rPr>
          <w:highlight w:val="none"/>
          <w:lang w:val="en-GB"/>
        </w:rPr>
      </w:pPr>
      <w:r w:rsidRPr="00087FE1">
        <w:rPr>
          <w:highlight w:val="none"/>
          <w:lang w:val="en-GB"/>
        </w:rPr>
        <w:t xml:space="preserve">The exams will take place orally. </w:t>
      </w:r>
    </w:p>
    <w:p w14:paraId="5E9D47B4" w14:textId="77777777" w:rsidR="00E87ABD" w:rsidRPr="00087FE1" w:rsidRDefault="00301A04">
      <w:pPr>
        <w:pStyle w:val="P68B1DB1-Normale8"/>
        <w:tabs>
          <w:tab w:val="clear" w:pos="284"/>
        </w:tabs>
        <w:ind w:left="1" w:hanging="1"/>
        <w:rPr>
          <w:highlight w:val="none"/>
          <w:lang w:val="en-GB"/>
        </w:rPr>
      </w:pPr>
      <w:r w:rsidRPr="00087FE1">
        <w:rPr>
          <w:highlight w:val="none"/>
          <w:lang w:val="en-GB"/>
        </w:rPr>
        <w:t>During the exams, the student's knowledge of the fundamental characteristics of international exchanges in EU law will be verified, also concerning exchanges with third states. The purpose of the assessment will be to understand and know the relevant legal institutions and the solutions offered in application and jurisprudential practice.</w:t>
      </w:r>
    </w:p>
    <w:p w14:paraId="52D4A054" w14:textId="77777777" w:rsidR="00E87ABD" w:rsidRPr="00087FE1" w:rsidRDefault="00301A04">
      <w:pPr>
        <w:pStyle w:val="P68B1DB1-Normale8"/>
        <w:tabs>
          <w:tab w:val="clear" w:pos="284"/>
        </w:tabs>
        <w:ind w:left="1" w:hanging="1"/>
        <w:rPr>
          <w:rFonts w:eastAsia="Times New Roman"/>
          <w:highlight w:val="none"/>
          <w:lang w:val="en-GB"/>
        </w:rPr>
      </w:pPr>
      <w:r w:rsidRPr="00087FE1">
        <w:rPr>
          <w:highlight w:val="none"/>
          <w:lang w:val="en-GB"/>
        </w:rPr>
        <w:t>Excellent and good grades will be awarded to those who demonstrate, respectively, excellent or good: ability to comprehensively and correctly answer the questions; skill in critical evaluation and legal argumentation; ability to indicate with precision the regulatory and jurisprudential sources; ability to frame the topics covered and draw links between the various topics; accuracy of the presentation and appropriateness of the legal terminology used.</w:t>
      </w:r>
    </w:p>
    <w:p w14:paraId="42178B7C" w14:textId="77777777" w:rsidR="00E87ABD" w:rsidRPr="00087FE1" w:rsidRDefault="00301A04">
      <w:pPr>
        <w:pStyle w:val="P68B1DB1-Normale8"/>
        <w:tabs>
          <w:tab w:val="clear" w:pos="284"/>
        </w:tabs>
        <w:ind w:left="1" w:hanging="1"/>
        <w:rPr>
          <w:rFonts w:eastAsia="Times New Roman"/>
          <w:highlight w:val="none"/>
          <w:lang w:val="en-GB"/>
        </w:rPr>
      </w:pPr>
      <w:r w:rsidRPr="00087FE1">
        <w:rPr>
          <w:highlight w:val="none"/>
          <w:lang w:val="en-GB"/>
        </w:rPr>
        <w:t>A fair assessment will be awarded to those who demonstrate knowledge of the programme and reference sources without significant gaps, a decent ability to argue, frame and draw links, as well as adequate technical-legal language.</w:t>
      </w:r>
    </w:p>
    <w:p w14:paraId="1C4EED24" w14:textId="77777777" w:rsidR="00E87ABD" w:rsidRPr="00087FE1" w:rsidRDefault="00301A04">
      <w:pPr>
        <w:pStyle w:val="P68B1DB1-Normale8"/>
        <w:tabs>
          <w:tab w:val="clear" w:pos="284"/>
        </w:tabs>
        <w:ind w:left="1" w:hanging="1"/>
        <w:rPr>
          <w:rFonts w:eastAsia="Times New Roman"/>
          <w:highlight w:val="none"/>
          <w:lang w:val="en-GB"/>
        </w:rPr>
      </w:pPr>
      <w:r w:rsidRPr="00087FE1">
        <w:rPr>
          <w:highlight w:val="none"/>
          <w:lang w:val="en-GB"/>
        </w:rPr>
        <w:t>A simple pass mark will be awarded to those who possess only basic knowledge and display learning gaps on non-essential parts of the programme, who demonstrate a sufficient ability to navigate between the various topics and draw links, and who use only partially inaccurate technical-legal language.</w:t>
      </w:r>
    </w:p>
    <w:p w14:paraId="1AEC306F" w14:textId="0D1E120A" w:rsidR="00E87ABD" w:rsidRPr="00087FE1" w:rsidRDefault="00301A04">
      <w:pPr>
        <w:pStyle w:val="P68B1DB1-Normale8"/>
        <w:tabs>
          <w:tab w:val="clear" w:pos="284"/>
        </w:tabs>
        <w:ind w:left="1" w:hanging="1"/>
        <w:rPr>
          <w:rFonts w:eastAsia="Times New Roman"/>
          <w:color w:val="212121"/>
          <w:highlight w:val="none"/>
          <w:u w:color="212121"/>
          <w:lang w:val="en-GB"/>
        </w:rPr>
      </w:pPr>
      <w:r w:rsidRPr="00087FE1">
        <w:rPr>
          <w:highlight w:val="none"/>
          <w:lang w:val="en-GB"/>
        </w:rPr>
        <w:t xml:space="preserve">A fail mark will be given to those who exhibit </w:t>
      </w:r>
      <w:r w:rsidRPr="00087FE1">
        <w:rPr>
          <w:color w:val="212121"/>
          <w:highlight w:val="none"/>
          <w:u w:color="212121"/>
          <w:lang w:val="en-GB"/>
        </w:rPr>
        <w:t>learning gaps in fundamental parts of the programme, significant difficulties in classification and orientation regarding the subject, as well as a highly inappropriate technical-legal language.</w:t>
      </w:r>
    </w:p>
    <w:p w14:paraId="720AC832" w14:textId="77777777" w:rsidR="00E87ABD" w:rsidRPr="00087FE1" w:rsidRDefault="00E87ABD">
      <w:pPr>
        <w:tabs>
          <w:tab w:val="clear" w:pos="284"/>
        </w:tabs>
        <w:ind w:left="284" w:hanging="284"/>
        <w:rPr>
          <w:rFonts w:ascii="Times New Roman" w:eastAsia="Times New Roman" w:hAnsi="Times New Roman" w:cs="Times New Roman"/>
          <w:color w:val="212121"/>
          <w:sz w:val="18"/>
          <w:u w:color="212121"/>
          <w:lang w:val="en-GB"/>
        </w:rPr>
      </w:pPr>
    </w:p>
    <w:p w14:paraId="22AF1702" w14:textId="3ECD81B7" w:rsidR="00E87ABD" w:rsidRPr="00087FE1" w:rsidRDefault="00301A04">
      <w:pPr>
        <w:pStyle w:val="P68B1DB1-Testo211"/>
        <w:spacing w:line="240" w:lineRule="exact"/>
        <w:rPr>
          <w:highlight w:val="none"/>
          <w:lang w:val="en-GB"/>
        </w:rPr>
      </w:pPr>
      <w:r w:rsidRPr="00087FE1">
        <w:rPr>
          <w:highlight w:val="none"/>
          <w:u w:val="single"/>
          <w:lang w:val="en-GB"/>
        </w:rPr>
        <w:t>Judgments</w:t>
      </w:r>
      <w:r w:rsidRPr="00087FE1">
        <w:rPr>
          <w:highlight w:val="none"/>
          <w:lang w:val="en-GB"/>
        </w:rPr>
        <w:t xml:space="preserve"> of the Court of Justice to be prepared from the </w:t>
      </w:r>
      <w:r w:rsidRPr="00087FE1">
        <w:rPr>
          <w:highlight w:val="none"/>
          <w:u w:val="single"/>
          <w:lang w:val="en-GB"/>
        </w:rPr>
        <w:t>2nd EDITION</w:t>
      </w:r>
      <w:r w:rsidRPr="00087FE1">
        <w:rPr>
          <w:highlight w:val="none"/>
          <w:lang w:val="en-GB"/>
        </w:rPr>
        <w:t xml:space="preserve"> of the volume "Mercato unico e libertà di circolazione nell’Unione europea":</w:t>
      </w:r>
    </w:p>
    <w:p w14:paraId="6CF61E12" w14:textId="77777777" w:rsidR="00E87ABD" w:rsidRPr="00087FE1" w:rsidRDefault="00E87ABD">
      <w:pPr>
        <w:pStyle w:val="Testo2"/>
        <w:spacing w:line="240" w:lineRule="exact"/>
        <w:rPr>
          <w:rFonts w:ascii="Times New Roman" w:hAnsi="Times New Roman" w:cs="Times New Roman"/>
          <w:lang w:val="en-GB"/>
        </w:rPr>
      </w:pPr>
    </w:p>
    <w:p w14:paraId="3212707C" w14:textId="77777777" w:rsidR="00E87ABD" w:rsidRPr="00087FE1" w:rsidRDefault="00301A04">
      <w:pPr>
        <w:pStyle w:val="P68B1DB1-Testo212"/>
        <w:spacing w:line="240" w:lineRule="exact"/>
        <w:rPr>
          <w:highlight w:val="none"/>
          <w:lang w:val="en-GB"/>
        </w:rPr>
      </w:pPr>
      <w:r w:rsidRPr="00087FE1">
        <w:rPr>
          <w:highlight w:val="none"/>
          <w:lang w:val="en-GB"/>
        </w:rPr>
        <w:t xml:space="preserve">Chapter 1: La libera circolazione </w:t>
      </w:r>
      <w:commentRangeStart w:id="0"/>
      <w:r w:rsidRPr="00087FE1">
        <w:rPr>
          <w:highlight w:val="none"/>
          <w:lang w:val="en-GB"/>
        </w:rPr>
        <w:t>delle</w:t>
      </w:r>
      <w:commentRangeEnd w:id="0"/>
      <w:r w:rsidR="00511CB7" w:rsidRPr="00087FE1">
        <w:rPr>
          <w:rStyle w:val="Rimandocommento"/>
          <w:rFonts w:ascii="Times Roman" w:hAnsi="Times Roman" w:cs="Arial Unicode MS"/>
          <w:i w:val="0"/>
          <w:highlight w:val="none"/>
        </w:rPr>
        <w:commentReference w:id="0"/>
      </w:r>
      <w:r w:rsidRPr="00087FE1">
        <w:rPr>
          <w:highlight w:val="none"/>
          <w:lang w:val="en-GB"/>
        </w:rPr>
        <w:t xml:space="preserve"> merci [Free movement of goods] </w:t>
      </w:r>
    </w:p>
    <w:p w14:paraId="087206D6" w14:textId="77777777" w:rsidR="00E87ABD" w:rsidRPr="00087FE1" w:rsidRDefault="00301A04">
      <w:pPr>
        <w:pStyle w:val="P68B1DB1-Testo213"/>
        <w:spacing w:line="240" w:lineRule="exact"/>
        <w:rPr>
          <w:highlight w:val="none"/>
          <w:lang w:val="en-GB"/>
        </w:rPr>
      </w:pPr>
      <w:r w:rsidRPr="00087FE1">
        <w:rPr>
          <w:highlight w:val="none"/>
          <w:lang w:val="en-GB"/>
        </w:rPr>
        <w:t>A.</w:t>
      </w:r>
      <w:r w:rsidRPr="00087FE1">
        <w:rPr>
          <w:highlight w:val="none"/>
          <w:lang w:val="en-GB"/>
        </w:rPr>
        <w:tab/>
        <w:t xml:space="preserve">The Internal Market and the Customs Union </w:t>
      </w:r>
    </w:p>
    <w:p w14:paraId="197D05A7" w14:textId="77777777" w:rsidR="00E87ABD" w:rsidRPr="00087FE1" w:rsidRDefault="00301A04">
      <w:pPr>
        <w:pStyle w:val="P68B1DB1-Testo211"/>
        <w:spacing w:line="240" w:lineRule="exact"/>
        <w:rPr>
          <w:highlight w:val="none"/>
          <w:lang w:val="en-GB"/>
        </w:rPr>
      </w:pPr>
      <w:r w:rsidRPr="00087FE1">
        <w:rPr>
          <w:highlight w:val="none"/>
          <w:lang w:val="en-GB"/>
        </w:rPr>
        <w:t>3.3.</w:t>
      </w:r>
      <w:r w:rsidRPr="00087FE1">
        <w:rPr>
          <w:highlight w:val="none"/>
          <w:lang w:val="en-GB"/>
        </w:rPr>
        <w:tab/>
        <w:t>Judgment of 10 December 1968, Case 7/68, Comm. vs Italy ("Italian Art") (p. 14)</w:t>
      </w:r>
    </w:p>
    <w:p w14:paraId="6C4E9D33" w14:textId="77777777" w:rsidR="00E87ABD" w:rsidRPr="00087FE1" w:rsidRDefault="00301A04">
      <w:pPr>
        <w:pStyle w:val="P68B1DB1-Testo213"/>
        <w:spacing w:line="240" w:lineRule="exact"/>
        <w:ind w:left="704" w:hanging="420"/>
        <w:rPr>
          <w:highlight w:val="none"/>
          <w:lang w:val="en-GB"/>
        </w:rPr>
      </w:pPr>
      <w:r w:rsidRPr="00087FE1">
        <w:rPr>
          <w:highlight w:val="none"/>
          <w:lang w:val="en-GB"/>
        </w:rPr>
        <w:t>B.</w:t>
      </w:r>
      <w:r w:rsidRPr="00087FE1">
        <w:rPr>
          <w:highlight w:val="none"/>
          <w:lang w:val="en-GB"/>
        </w:rPr>
        <w:tab/>
        <w:t xml:space="preserve">Relevance and effects of EU laws on the free movement of goods </w:t>
      </w:r>
    </w:p>
    <w:p w14:paraId="1EF19CF3" w14:textId="77777777" w:rsidR="00E87ABD" w:rsidRPr="00087FE1" w:rsidRDefault="00301A04">
      <w:pPr>
        <w:pStyle w:val="P68B1DB1-Testo211"/>
        <w:spacing w:line="240" w:lineRule="exact"/>
        <w:rPr>
          <w:highlight w:val="none"/>
          <w:lang w:val="en-GB"/>
        </w:rPr>
      </w:pPr>
      <w:r w:rsidRPr="00087FE1">
        <w:rPr>
          <w:highlight w:val="none"/>
          <w:lang w:val="en-GB"/>
        </w:rPr>
        <w:t>2.1</w:t>
      </w:r>
      <w:r w:rsidRPr="00087FE1">
        <w:rPr>
          <w:highlight w:val="none"/>
          <w:lang w:val="en-GB"/>
        </w:rPr>
        <w:tab/>
        <w:t>Judgment of 5 February 1963, Case 26/62, Van Gend en Loos (p. 22)</w:t>
      </w:r>
    </w:p>
    <w:p w14:paraId="361ECDA6" w14:textId="77777777" w:rsidR="00E87ABD" w:rsidRPr="00087FE1" w:rsidRDefault="00301A04">
      <w:pPr>
        <w:pStyle w:val="P68B1DB1-Testo211"/>
        <w:spacing w:line="240" w:lineRule="exact"/>
        <w:ind w:left="704" w:hanging="420"/>
        <w:rPr>
          <w:highlight w:val="none"/>
          <w:lang w:val="en-GB"/>
        </w:rPr>
      </w:pPr>
      <w:r w:rsidRPr="00087FE1">
        <w:rPr>
          <w:highlight w:val="none"/>
          <w:lang w:val="en-GB"/>
        </w:rPr>
        <w:t>2.5</w:t>
      </w:r>
      <w:r w:rsidRPr="00087FE1">
        <w:rPr>
          <w:highlight w:val="none"/>
          <w:lang w:val="en-GB"/>
        </w:rPr>
        <w:tab/>
        <w:t>Judgment of 5 March 1996, Joined Cases C-46/96 and C-48/93, Brasserie du Pêcheur (p. 27)</w:t>
      </w:r>
    </w:p>
    <w:p w14:paraId="56C43C0F" w14:textId="77777777" w:rsidR="00E87ABD" w:rsidRPr="00087FE1" w:rsidRDefault="00301A04">
      <w:pPr>
        <w:pStyle w:val="P68B1DB1-Testo213"/>
        <w:spacing w:line="240" w:lineRule="exact"/>
        <w:rPr>
          <w:highlight w:val="none"/>
          <w:lang w:val="en-GB"/>
        </w:rPr>
      </w:pPr>
      <w:r w:rsidRPr="00087FE1">
        <w:rPr>
          <w:highlight w:val="none"/>
          <w:lang w:val="en-GB"/>
        </w:rPr>
        <w:t>C.</w:t>
      </w:r>
      <w:r w:rsidRPr="00087FE1">
        <w:rPr>
          <w:highlight w:val="none"/>
          <w:lang w:val="en-GB"/>
        </w:rPr>
        <w:tab/>
        <w:t>The prohibition of obstacles of a fiscal nature in trade between Member States</w:t>
      </w:r>
    </w:p>
    <w:p w14:paraId="4140F4B9" w14:textId="77777777" w:rsidR="00E87ABD" w:rsidRPr="00087FE1" w:rsidRDefault="00301A04">
      <w:pPr>
        <w:pStyle w:val="P68B1DB1-Testo211"/>
        <w:spacing w:line="240" w:lineRule="exact"/>
        <w:rPr>
          <w:highlight w:val="none"/>
          <w:lang w:val="en-GB"/>
        </w:rPr>
      </w:pPr>
      <w:r w:rsidRPr="00087FE1">
        <w:rPr>
          <w:highlight w:val="none"/>
          <w:lang w:val="en-GB"/>
        </w:rPr>
        <w:t>2.5</w:t>
      </w:r>
      <w:r w:rsidRPr="00087FE1">
        <w:rPr>
          <w:highlight w:val="none"/>
          <w:lang w:val="en-GB"/>
        </w:rPr>
        <w:tab/>
        <w:t>Judgment of 26 February 1975, Case 63-74, Cadsky (p. 40)</w:t>
      </w:r>
    </w:p>
    <w:p w14:paraId="73F93EE9" w14:textId="77777777" w:rsidR="00E87ABD" w:rsidRPr="00087FE1" w:rsidRDefault="00301A04">
      <w:pPr>
        <w:pStyle w:val="P68B1DB1-Testo211"/>
        <w:spacing w:line="240" w:lineRule="exact"/>
        <w:ind w:left="704" w:hanging="420"/>
        <w:rPr>
          <w:highlight w:val="none"/>
          <w:lang w:val="en-GB"/>
        </w:rPr>
      </w:pPr>
      <w:r w:rsidRPr="00087FE1">
        <w:rPr>
          <w:highlight w:val="none"/>
          <w:lang w:val="en-GB"/>
        </w:rPr>
        <w:t>2.8</w:t>
      </w:r>
      <w:r w:rsidRPr="00087FE1">
        <w:rPr>
          <w:highlight w:val="none"/>
          <w:lang w:val="en-GB"/>
        </w:rPr>
        <w:tab/>
        <w:t>Judgment of 4 May 1986, Case 106/84, Comm. vs Denmark ("grape and fruit wines", p. 43)</w:t>
      </w:r>
    </w:p>
    <w:p w14:paraId="3BEF6B74" w14:textId="77777777" w:rsidR="00E87ABD" w:rsidRPr="00087FE1" w:rsidRDefault="00301A04">
      <w:pPr>
        <w:pStyle w:val="P68B1DB1-Testo211"/>
        <w:spacing w:line="240" w:lineRule="exact"/>
        <w:ind w:left="704" w:hanging="420"/>
        <w:rPr>
          <w:highlight w:val="none"/>
          <w:lang w:val="en-GB"/>
        </w:rPr>
      </w:pPr>
      <w:r w:rsidRPr="00087FE1">
        <w:rPr>
          <w:highlight w:val="none"/>
          <w:lang w:val="en-GB"/>
        </w:rPr>
        <w:t>2.9</w:t>
      </w:r>
      <w:r w:rsidRPr="00087FE1">
        <w:rPr>
          <w:highlight w:val="none"/>
          <w:lang w:val="en-GB"/>
        </w:rPr>
        <w:tab/>
        <w:t>Judgment of 12 July 1983, Case 170/78, Comm. vs United Kingdom ("wine and beer", p. 53)</w:t>
      </w:r>
    </w:p>
    <w:p w14:paraId="6AFA0FE3" w14:textId="77777777" w:rsidR="00E87ABD" w:rsidRPr="00087FE1" w:rsidRDefault="00301A04">
      <w:pPr>
        <w:pStyle w:val="P68B1DB1-Testo213"/>
        <w:spacing w:line="240" w:lineRule="exact"/>
        <w:ind w:left="704" w:hanging="420"/>
        <w:rPr>
          <w:highlight w:val="none"/>
          <w:lang w:val="en-GB"/>
        </w:rPr>
      </w:pPr>
      <w:r w:rsidRPr="00087FE1">
        <w:rPr>
          <w:highlight w:val="none"/>
          <w:lang w:val="en-GB"/>
        </w:rPr>
        <w:t>D.</w:t>
      </w:r>
      <w:r w:rsidRPr="00087FE1">
        <w:rPr>
          <w:highlight w:val="none"/>
          <w:lang w:val="en-GB"/>
        </w:rPr>
        <w:tab/>
        <w:t xml:space="preserve">The prohibition of quantitative restrictions and measures having an equivalent effect: the distinctly applicable measures </w:t>
      </w:r>
    </w:p>
    <w:p w14:paraId="16407400" w14:textId="77777777" w:rsidR="00E87ABD" w:rsidRPr="00087FE1" w:rsidRDefault="00301A04">
      <w:pPr>
        <w:pStyle w:val="P68B1DB1-Testo211"/>
        <w:spacing w:line="240" w:lineRule="exact"/>
        <w:rPr>
          <w:highlight w:val="none"/>
          <w:lang w:val="en-GB"/>
        </w:rPr>
      </w:pPr>
      <w:r w:rsidRPr="00087FE1">
        <w:rPr>
          <w:highlight w:val="none"/>
          <w:lang w:val="en-GB"/>
        </w:rPr>
        <w:t>3.1</w:t>
      </w:r>
      <w:r w:rsidRPr="00087FE1">
        <w:rPr>
          <w:highlight w:val="none"/>
          <w:lang w:val="en-GB"/>
        </w:rPr>
        <w:tab/>
        <w:t>Judgment of 11 July 1974, Case 8/74, Dassonville (p. 55)</w:t>
      </w:r>
    </w:p>
    <w:p w14:paraId="41AED348" w14:textId="77777777" w:rsidR="00E87ABD" w:rsidRPr="00087FE1" w:rsidRDefault="00301A04">
      <w:pPr>
        <w:pStyle w:val="P68B1DB1-Testo211"/>
        <w:spacing w:line="240" w:lineRule="exact"/>
        <w:rPr>
          <w:highlight w:val="none"/>
          <w:lang w:val="en-GB"/>
        </w:rPr>
      </w:pPr>
      <w:r w:rsidRPr="00087FE1">
        <w:rPr>
          <w:highlight w:val="none"/>
          <w:lang w:val="en-GB"/>
        </w:rPr>
        <w:t>3.4</w:t>
      </w:r>
      <w:r w:rsidRPr="00087FE1">
        <w:rPr>
          <w:highlight w:val="none"/>
          <w:lang w:val="en-GB"/>
        </w:rPr>
        <w:tab/>
        <w:t>Judgment of 9 December 1981, Case 193/80, Comm. vs Italy ("Vinegar") (p. 57)</w:t>
      </w:r>
    </w:p>
    <w:p w14:paraId="6AEC3C3B" w14:textId="77777777" w:rsidR="00E87ABD" w:rsidRPr="00087FE1" w:rsidRDefault="00301A04">
      <w:pPr>
        <w:pStyle w:val="P68B1DB1-Testo213"/>
        <w:spacing w:line="240" w:lineRule="exact"/>
        <w:rPr>
          <w:highlight w:val="none"/>
          <w:lang w:val="en-GB"/>
        </w:rPr>
      </w:pPr>
      <w:r w:rsidRPr="00087FE1">
        <w:rPr>
          <w:highlight w:val="none"/>
          <w:lang w:val="en-GB"/>
        </w:rPr>
        <w:t>E.</w:t>
      </w:r>
      <w:r w:rsidRPr="00087FE1">
        <w:rPr>
          <w:highlight w:val="none"/>
          <w:lang w:val="en-GB"/>
        </w:rPr>
        <w:tab/>
        <w:t xml:space="preserve">Following: the measures indiscriminately applicable </w:t>
      </w:r>
    </w:p>
    <w:p w14:paraId="03CFA3CA" w14:textId="77777777" w:rsidR="00E87ABD" w:rsidRPr="00087FE1" w:rsidRDefault="00301A04">
      <w:pPr>
        <w:pStyle w:val="P68B1DB1-Testo211"/>
        <w:spacing w:line="240" w:lineRule="exact"/>
        <w:rPr>
          <w:highlight w:val="none"/>
          <w:lang w:val="en-GB"/>
        </w:rPr>
      </w:pPr>
      <w:r w:rsidRPr="00087FE1">
        <w:rPr>
          <w:highlight w:val="none"/>
          <w:lang w:val="en-GB"/>
        </w:rPr>
        <w:t>3.1</w:t>
      </w:r>
      <w:r w:rsidRPr="00087FE1">
        <w:rPr>
          <w:highlight w:val="none"/>
          <w:lang w:val="en-GB"/>
        </w:rPr>
        <w:tab/>
        <w:t>Judgment of 20 February 1979, Case 120/78, "Cassis de Dijon" (p.71)</w:t>
      </w:r>
    </w:p>
    <w:p w14:paraId="4FCB35B4" w14:textId="77777777" w:rsidR="00E87ABD" w:rsidRPr="00087FE1" w:rsidRDefault="00301A04">
      <w:pPr>
        <w:pStyle w:val="P68B1DB1-Testo211"/>
        <w:spacing w:line="240" w:lineRule="exact"/>
        <w:ind w:left="704" w:hanging="420"/>
        <w:rPr>
          <w:highlight w:val="none"/>
          <w:lang w:val="en-GB"/>
        </w:rPr>
      </w:pPr>
      <w:r w:rsidRPr="00087FE1">
        <w:rPr>
          <w:highlight w:val="none"/>
          <w:lang w:val="en-GB"/>
        </w:rPr>
        <w:t>3.2</w:t>
      </w:r>
      <w:r w:rsidRPr="00087FE1">
        <w:rPr>
          <w:highlight w:val="none"/>
          <w:lang w:val="en-GB"/>
        </w:rPr>
        <w:tab/>
        <w:t>Judgment of 24 November 1993, Joined Cases C-267/91 and C-268/91, Keck and Mithouard (p. 73)</w:t>
      </w:r>
    </w:p>
    <w:p w14:paraId="41D81282" w14:textId="77777777" w:rsidR="00E87ABD" w:rsidRPr="00087FE1" w:rsidRDefault="00301A04">
      <w:pPr>
        <w:pStyle w:val="P68B1DB1-Testo211"/>
        <w:spacing w:line="240" w:lineRule="exact"/>
        <w:rPr>
          <w:highlight w:val="none"/>
          <w:lang w:val="en-GB"/>
        </w:rPr>
      </w:pPr>
      <w:r w:rsidRPr="00087FE1">
        <w:rPr>
          <w:highlight w:val="none"/>
          <w:lang w:val="en-GB"/>
        </w:rPr>
        <w:t>3.3</w:t>
      </w:r>
      <w:r w:rsidRPr="00087FE1">
        <w:rPr>
          <w:highlight w:val="none"/>
          <w:lang w:val="en-GB"/>
        </w:rPr>
        <w:tab/>
        <w:t>Judgment of 11 December 2003, Case C-322/01, Deutscher Apothekerverband (p. 75)</w:t>
      </w:r>
    </w:p>
    <w:p w14:paraId="194AD015" w14:textId="77777777" w:rsidR="00E87ABD" w:rsidRPr="00087FE1" w:rsidRDefault="00301A04">
      <w:pPr>
        <w:pStyle w:val="P68B1DB1-Testo211"/>
        <w:spacing w:line="240" w:lineRule="exact"/>
        <w:rPr>
          <w:highlight w:val="none"/>
          <w:lang w:val="en-GB"/>
        </w:rPr>
      </w:pPr>
      <w:r w:rsidRPr="00087FE1">
        <w:rPr>
          <w:highlight w:val="none"/>
          <w:lang w:val="en-GB"/>
        </w:rPr>
        <w:t>3.4</w:t>
      </w:r>
      <w:r w:rsidRPr="00087FE1">
        <w:rPr>
          <w:highlight w:val="none"/>
          <w:lang w:val="en-GB"/>
        </w:rPr>
        <w:tab/>
        <w:t>Judgment of 10 February 2009, Case C-110/05, Commission vs Italy (trailers, p. 78)</w:t>
      </w:r>
    </w:p>
    <w:p w14:paraId="661D7AB6" w14:textId="77777777" w:rsidR="00E87ABD" w:rsidRPr="00087FE1" w:rsidRDefault="00301A04">
      <w:pPr>
        <w:pStyle w:val="P68B1DB1-Testo213"/>
        <w:spacing w:line="240" w:lineRule="exact"/>
        <w:rPr>
          <w:highlight w:val="none"/>
          <w:lang w:val="en-GB"/>
        </w:rPr>
      </w:pPr>
      <w:r w:rsidRPr="00087FE1">
        <w:rPr>
          <w:highlight w:val="none"/>
          <w:lang w:val="en-GB"/>
        </w:rPr>
        <w:t>F.</w:t>
      </w:r>
      <w:r w:rsidRPr="00087FE1">
        <w:rPr>
          <w:highlight w:val="none"/>
          <w:lang w:val="en-GB"/>
        </w:rPr>
        <w:tab/>
        <w:t xml:space="preserve">Margins of regulatory autonomy of the Member States in the protection of general interests </w:t>
      </w:r>
    </w:p>
    <w:p w14:paraId="13F98418" w14:textId="77777777" w:rsidR="00E87ABD" w:rsidRPr="00087FE1" w:rsidRDefault="00301A04">
      <w:pPr>
        <w:pStyle w:val="P68B1DB1-Testo211"/>
        <w:spacing w:line="240" w:lineRule="exact"/>
        <w:rPr>
          <w:highlight w:val="none"/>
          <w:lang w:val="en-GB"/>
        </w:rPr>
      </w:pPr>
      <w:r w:rsidRPr="00087FE1">
        <w:rPr>
          <w:highlight w:val="none"/>
          <w:lang w:val="en-GB"/>
        </w:rPr>
        <w:t>3.1</w:t>
      </w:r>
      <w:r w:rsidRPr="00087FE1">
        <w:rPr>
          <w:highlight w:val="none"/>
          <w:lang w:val="en-GB"/>
        </w:rPr>
        <w:tab/>
        <w:t>Judgment of 14 July 1988, Case 90/86, Zoni (p. 101)</w:t>
      </w:r>
    </w:p>
    <w:p w14:paraId="664D3660" w14:textId="77777777" w:rsidR="00E87ABD" w:rsidRPr="00087FE1" w:rsidRDefault="00301A04">
      <w:pPr>
        <w:pStyle w:val="P68B1DB1-Testo211"/>
        <w:spacing w:line="240" w:lineRule="exact"/>
        <w:rPr>
          <w:highlight w:val="none"/>
          <w:lang w:val="en-GB"/>
        </w:rPr>
      </w:pPr>
      <w:r w:rsidRPr="00087FE1">
        <w:rPr>
          <w:highlight w:val="none"/>
          <w:lang w:val="en-GB"/>
        </w:rPr>
        <w:t>3.4</w:t>
      </w:r>
      <w:r w:rsidRPr="00087FE1">
        <w:rPr>
          <w:highlight w:val="none"/>
          <w:lang w:val="en-GB"/>
        </w:rPr>
        <w:tab/>
        <w:t>Judgment of 3 December 1998, Case C-67/97, Bluhme (p. 106)</w:t>
      </w:r>
    </w:p>
    <w:p w14:paraId="3B2C00C7" w14:textId="77777777" w:rsidR="00E87ABD" w:rsidRPr="00087FE1" w:rsidRDefault="00301A04">
      <w:pPr>
        <w:pStyle w:val="P68B1DB1-Testo211"/>
        <w:spacing w:line="240" w:lineRule="exact"/>
        <w:ind w:left="704" w:hanging="420"/>
        <w:rPr>
          <w:highlight w:val="none"/>
          <w:lang w:val="en-GB"/>
        </w:rPr>
      </w:pPr>
      <w:r w:rsidRPr="00087FE1">
        <w:rPr>
          <w:highlight w:val="none"/>
          <w:lang w:val="en-GB"/>
        </w:rPr>
        <w:t>3.5</w:t>
      </w:r>
      <w:r w:rsidRPr="00087FE1">
        <w:rPr>
          <w:highlight w:val="none"/>
          <w:lang w:val="en-GB"/>
        </w:rPr>
        <w:tab/>
        <w:t>Judgment of 11 September 2014, Joined Cases C-204/12 to C-208/12, Essent Belgium (p. 108)</w:t>
      </w:r>
    </w:p>
    <w:p w14:paraId="2226AE75" w14:textId="38EC9B84" w:rsidR="00E87ABD" w:rsidRPr="00087FE1" w:rsidRDefault="00301A04">
      <w:pPr>
        <w:pStyle w:val="P68B1DB1-Testo211"/>
        <w:spacing w:line="240" w:lineRule="exact"/>
        <w:rPr>
          <w:highlight w:val="none"/>
          <w:lang w:val="it-IT"/>
        </w:rPr>
      </w:pPr>
      <w:r w:rsidRPr="00087FE1">
        <w:rPr>
          <w:highlight w:val="none"/>
          <w:lang w:val="en-GB"/>
        </w:rPr>
        <w:t>3.7</w:t>
      </w:r>
      <w:r w:rsidRPr="00087FE1">
        <w:rPr>
          <w:highlight w:val="none"/>
          <w:lang w:val="en-GB"/>
        </w:rPr>
        <w:tab/>
        <w:t xml:space="preserve">Judgment of 20 March 2003, Case 3/00, Denmark vs Comm. </w:t>
      </w:r>
      <w:r w:rsidRPr="00087FE1">
        <w:rPr>
          <w:highlight w:val="none"/>
          <w:lang w:val="it-IT"/>
        </w:rPr>
        <w:t>(p. 112)</w:t>
      </w:r>
    </w:p>
    <w:p w14:paraId="40FF8204" w14:textId="77777777" w:rsidR="00E87ABD" w:rsidRPr="00087FE1" w:rsidRDefault="00301A04">
      <w:pPr>
        <w:pStyle w:val="P68B1DB1-Testo212"/>
        <w:spacing w:line="240" w:lineRule="exact"/>
        <w:rPr>
          <w:highlight w:val="none"/>
          <w:lang w:val="it-IT"/>
        </w:rPr>
      </w:pPr>
      <w:r w:rsidRPr="00087FE1">
        <w:rPr>
          <w:highlight w:val="none"/>
          <w:lang w:val="it-IT"/>
        </w:rPr>
        <w:t xml:space="preserve">Chapter 2: La cittadinanza europea [European Citizenship] </w:t>
      </w:r>
    </w:p>
    <w:p w14:paraId="252BA02F" w14:textId="77777777" w:rsidR="00E87ABD" w:rsidRPr="00087FE1" w:rsidRDefault="00301A04">
      <w:pPr>
        <w:pStyle w:val="P68B1DB1-Testo213"/>
        <w:spacing w:line="240" w:lineRule="exact"/>
        <w:rPr>
          <w:highlight w:val="none"/>
          <w:lang w:val="en-GB"/>
        </w:rPr>
      </w:pPr>
      <w:r w:rsidRPr="00087FE1">
        <w:rPr>
          <w:highlight w:val="none"/>
          <w:lang w:val="en-GB"/>
        </w:rPr>
        <w:t xml:space="preserve">A. </w:t>
      </w:r>
      <w:r w:rsidRPr="00087FE1">
        <w:rPr>
          <w:highlight w:val="none"/>
          <w:lang w:val="en-GB"/>
        </w:rPr>
        <w:tab/>
        <w:t xml:space="preserve">European Citizenship and National Citizenship </w:t>
      </w:r>
    </w:p>
    <w:p w14:paraId="15ACDE8E" w14:textId="77777777" w:rsidR="00E87ABD" w:rsidRPr="00087FE1" w:rsidRDefault="00301A04">
      <w:pPr>
        <w:pStyle w:val="P68B1DB1-Testo211"/>
        <w:spacing w:line="240" w:lineRule="exact"/>
        <w:rPr>
          <w:highlight w:val="none"/>
          <w:lang w:val="en-GB"/>
        </w:rPr>
      </w:pPr>
      <w:r w:rsidRPr="00087FE1">
        <w:rPr>
          <w:highlight w:val="none"/>
          <w:lang w:val="en-GB"/>
        </w:rPr>
        <w:t>3.1</w:t>
      </w:r>
      <w:r w:rsidRPr="00087FE1">
        <w:rPr>
          <w:highlight w:val="none"/>
          <w:lang w:val="en-GB"/>
        </w:rPr>
        <w:tab/>
        <w:t>Judgment of 7 July 1992, Case C-369/90, Micheletti (p. 125)</w:t>
      </w:r>
    </w:p>
    <w:p w14:paraId="23E298E6" w14:textId="77777777" w:rsidR="00E87ABD" w:rsidRPr="00087FE1" w:rsidRDefault="00301A04">
      <w:pPr>
        <w:pStyle w:val="P68B1DB1-Testo211"/>
        <w:spacing w:line="240" w:lineRule="exact"/>
        <w:rPr>
          <w:highlight w:val="none"/>
          <w:lang w:val="en-GB"/>
        </w:rPr>
      </w:pPr>
      <w:r w:rsidRPr="00087FE1">
        <w:rPr>
          <w:highlight w:val="none"/>
          <w:lang w:val="en-GB"/>
        </w:rPr>
        <w:t>3.3</w:t>
      </w:r>
      <w:r w:rsidRPr="00087FE1">
        <w:rPr>
          <w:highlight w:val="none"/>
          <w:lang w:val="en-GB"/>
        </w:rPr>
        <w:tab/>
        <w:t>Judgment of 2 October 2008, Case C-148/02, Garcia Avello (p. 126)</w:t>
      </w:r>
    </w:p>
    <w:p w14:paraId="47106295" w14:textId="77777777" w:rsidR="00E87ABD" w:rsidRPr="00087FE1" w:rsidRDefault="00301A04">
      <w:pPr>
        <w:pStyle w:val="P68B1DB1-Testo211"/>
        <w:spacing w:line="240" w:lineRule="exact"/>
        <w:rPr>
          <w:highlight w:val="none"/>
          <w:lang w:val="en-GB"/>
        </w:rPr>
      </w:pPr>
      <w:r w:rsidRPr="00087FE1">
        <w:rPr>
          <w:highlight w:val="none"/>
          <w:lang w:val="en-GB"/>
        </w:rPr>
        <w:t>3.4</w:t>
      </w:r>
      <w:r w:rsidRPr="00087FE1">
        <w:rPr>
          <w:highlight w:val="none"/>
          <w:lang w:val="en-GB"/>
        </w:rPr>
        <w:tab/>
        <w:t>Judgment of 2 March 2010, Case C-135/08, Rottmann (p. 127)</w:t>
      </w:r>
    </w:p>
    <w:p w14:paraId="5AA2BC5A" w14:textId="77777777" w:rsidR="00E87ABD" w:rsidRPr="00087FE1" w:rsidRDefault="00301A04">
      <w:pPr>
        <w:pStyle w:val="P68B1DB1-Testo213"/>
        <w:spacing w:line="240" w:lineRule="exact"/>
        <w:rPr>
          <w:highlight w:val="none"/>
          <w:lang w:val="en-GB"/>
        </w:rPr>
      </w:pPr>
      <w:r w:rsidRPr="00087FE1">
        <w:rPr>
          <w:highlight w:val="none"/>
          <w:lang w:val="en-GB"/>
        </w:rPr>
        <w:t>B.</w:t>
      </w:r>
      <w:r w:rsidRPr="00087FE1">
        <w:rPr>
          <w:highlight w:val="none"/>
          <w:lang w:val="en-GB"/>
        </w:rPr>
        <w:tab/>
        <w:t xml:space="preserve">Civil rights stemming from European citizenship </w:t>
      </w:r>
    </w:p>
    <w:p w14:paraId="3020BAD0" w14:textId="77777777" w:rsidR="00E87ABD" w:rsidRPr="00087FE1" w:rsidRDefault="00301A04">
      <w:pPr>
        <w:pStyle w:val="P68B1DB1-Testo211"/>
        <w:spacing w:line="240" w:lineRule="exact"/>
        <w:rPr>
          <w:highlight w:val="none"/>
          <w:lang w:val="en-GB"/>
        </w:rPr>
      </w:pPr>
      <w:r w:rsidRPr="00087FE1">
        <w:rPr>
          <w:highlight w:val="none"/>
          <w:lang w:val="en-GB"/>
        </w:rPr>
        <w:t>3.3</w:t>
      </w:r>
      <w:r w:rsidRPr="00087FE1">
        <w:rPr>
          <w:highlight w:val="none"/>
          <w:lang w:val="en-GB"/>
        </w:rPr>
        <w:tab/>
        <w:t>Judgment of 19 October 2004, Case C-200/02, Chen (p. 149)</w:t>
      </w:r>
    </w:p>
    <w:p w14:paraId="72AB8989" w14:textId="77777777" w:rsidR="00E87ABD" w:rsidRPr="00087FE1" w:rsidRDefault="00301A04">
      <w:pPr>
        <w:pStyle w:val="P68B1DB1-Testo211"/>
        <w:spacing w:line="240" w:lineRule="exact"/>
        <w:rPr>
          <w:highlight w:val="none"/>
          <w:lang w:val="en-GB"/>
        </w:rPr>
      </w:pPr>
      <w:r w:rsidRPr="00087FE1">
        <w:rPr>
          <w:highlight w:val="none"/>
          <w:lang w:val="en-GB"/>
        </w:rPr>
        <w:t>3.6</w:t>
      </w:r>
      <w:r w:rsidRPr="00087FE1">
        <w:rPr>
          <w:highlight w:val="none"/>
          <w:lang w:val="en-GB"/>
        </w:rPr>
        <w:tab/>
        <w:t>Judgment of 5 June 2018, Case C-673/16, Coman (p. 153)</w:t>
      </w:r>
    </w:p>
    <w:p w14:paraId="39C85404" w14:textId="613642FF" w:rsidR="00E87ABD" w:rsidRPr="00087FE1" w:rsidRDefault="00301A04">
      <w:pPr>
        <w:pStyle w:val="P68B1DB1-Testo212"/>
        <w:spacing w:line="240" w:lineRule="exact"/>
        <w:rPr>
          <w:highlight w:val="none"/>
          <w:lang w:val="en-GB"/>
        </w:rPr>
      </w:pPr>
      <w:r w:rsidRPr="00087FE1">
        <w:rPr>
          <w:highlight w:val="none"/>
          <w:lang w:val="en-GB"/>
        </w:rPr>
        <w:t xml:space="preserve">Chapter 4: La libertà di stabilimento [Freedom of establishment] </w:t>
      </w:r>
    </w:p>
    <w:p w14:paraId="554BF20C" w14:textId="77777777" w:rsidR="00E87ABD" w:rsidRPr="00087FE1" w:rsidRDefault="00301A04">
      <w:pPr>
        <w:pStyle w:val="P68B1DB1-Testo213"/>
        <w:spacing w:line="240" w:lineRule="exact"/>
        <w:rPr>
          <w:highlight w:val="none"/>
          <w:lang w:val="en-GB"/>
        </w:rPr>
      </w:pPr>
      <w:r w:rsidRPr="00087FE1">
        <w:rPr>
          <w:highlight w:val="none"/>
          <w:lang w:val="en-GB"/>
        </w:rPr>
        <w:t>A.</w:t>
      </w:r>
      <w:r w:rsidRPr="00087FE1">
        <w:rPr>
          <w:highlight w:val="none"/>
          <w:lang w:val="en-GB"/>
        </w:rPr>
        <w:tab/>
        <w:t xml:space="preserve">The scope of freedom of establishment </w:t>
      </w:r>
    </w:p>
    <w:p w14:paraId="5D9192F8" w14:textId="77777777" w:rsidR="00E87ABD" w:rsidRPr="00087FE1" w:rsidRDefault="00301A04">
      <w:pPr>
        <w:pStyle w:val="P68B1DB1-Testo211"/>
        <w:spacing w:line="240" w:lineRule="exact"/>
        <w:rPr>
          <w:highlight w:val="none"/>
          <w:lang w:val="en-GB"/>
        </w:rPr>
      </w:pPr>
      <w:r w:rsidRPr="00087FE1">
        <w:rPr>
          <w:highlight w:val="none"/>
          <w:lang w:val="en-GB"/>
        </w:rPr>
        <w:t>3.1</w:t>
      </w:r>
      <w:r w:rsidRPr="00087FE1">
        <w:rPr>
          <w:highlight w:val="none"/>
          <w:lang w:val="en-GB"/>
        </w:rPr>
        <w:tab/>
        <w:t>Judgment of 30 November 1995, Case C-55/94, Gebhard (p. 224)</w:t>
      </w:r>
    </w:p>
    <w:p w14:paraId="34C0216A" w14:textId="77777777" w:rsidR="00E87ABD" w:rsidRPr="00087FE1" w:rsidRDefault="00301A04">
      <w:pPr>
        <w:pStyle w:val="P68B1DB1-Testo211"/>
        <w:spacing w:line="240" w:lineRule="exact"/>
        <w:rPr>
          <w:highlight w:val="none"/>
          <w:lang w:val="en-GB"/>
        </w:rPr>
      </w:pPr>
      <w:r w:rsidRPr="00087FE1">
        <w:rPr>
          <w:highlight w:val="none"/>
          <w:lang w:val="en-GB"/>
        </w:rPr>
        <w:t>3.3</w:t>
      </w:r>
      <w:r w:rsidRPr="00087FE1">
        <w:rPr>
          <w:highlight w:val="none"/>
          <w:lang w:val="en-GB"/>
        </w:rPr>
        <w:tab/>
        <w:t>Judgment of 27 September 1988, Case 81/87, Daily Mail (p. 226)</w:t>
      </w:r>
    </w:p>
    <w:p w14:paraId="49CEB9DF" w14:textId="77777777" w:rsidR="00E87ABD" w:rsidRPr="00087FE1" w:rsidRDefault="00301A04">
      <w:pPr>
        <w:pStyle w:val="P68B1DB1-Testo213"/>
        <w:spacing w:line="240" w:lineRule="exact"/>
        <w:rPr>
          <w:highlight w:val="none"/>
          <w:lang w:val="en-GB"/>
        </w:rPr>
      </w:pPr>
      <w:r w:rsidRPr="00087FE1">
        <w:rPr>
          <w:highlight w:val="none"/>
          <w:lang w:val="en-GB"/>
        </w:rPr>
        <w:t>B.</w:t>
      </w:r>
      <w:r w:rsidRPr="00087FE1">
        <w:rPr>
          <w:highlight w:val="none"/>
          <w:lang w:val="en-GB"/>
        </w:rPr>
        <w:tab/>
        <w:t xml:space="preserve">Negative integration in terms of establishment </w:t>
      </w:r>
    </w:p>
    <w:p w14:paraId="1ABD7C1A" w14:textId="77777777" w:rsidR="00E87ABD" w:rsidRPr="00087FE1" w:rsidRDefault="00301A04">
      <w:pPr>
        <w:pStyle w:val="P68B1DB1-Testo211"/>
        <w:spacing w:line="240" w:lineRule="exact"/>
        <w:rPr>
          <w:highlight w:val="none"/>
          <w:lang w:val="en-GB"/>
        </w:rPr>
      </w:pPr>
      <w:r w:rsidRPr="00087FE1">
        <w:rPr>
          <w:highlight w:val="none"/>
          <w:lang w:val="en-GB"/>
        </w:rPr>
        <w:t>2.2</w:t>
      </w:r>
      <w:r w:rsidRPr="00087FE1">
        <w:rPr>
          <w:highlight w:val="none"/>
          <w:lang w:val="en-GB"/>
        </w:rPr>
        <w:tab/>
        <w:t>Judgment of 21 June 1974, Case 2/74, Reyners (p. 232)</w:t>
      </w:r>
    </w:p>
    <w:p w14:paraId="724EADFC" w14:textId="77777777" w:rsidR="00E87ABD" w:rsidRPr="00087FE1" w:rsidRDefault="00301A04">
      <w:pPr>
        <w:pStyle w:val="P68B1DB1-Testo211"/>
        <w:spacing w:line="240" w:lineRule="exact"/>
        <w:rPr>
          <w:highlight w:val="none"/>
          <w:lang w:val="en-GB"/>
        </w:rPr>
      </w:pPr>
      <w:r w:rsidRPr="00087FE1">
        <w:rPr>
          <w:highlight w:val="none"/>
          <w:lang w:val="en-GB"/>
        </w:rPr>
        <w:t>2.4</w:t>
      </w:r>
      <w:r w:rsidRPr="00087FE1">
        <w:rPr>
          <w:highlight w:val="none"/>
          <w:lang w:val="en-GB"/>
        </w:rPr>
        <w:tab/>
        <w:t>Judgment of 25 July 1991, Case C-221/89, Factortame (p. 233)</w:t>
      </w:r>
    </w:p>
    <w:p w14:paraId="4F7593C2" w14:textId="77777777" w:rsidR="00E87ABD" w:rsidRPr="00087FE1" w:rsidRDefault="00301A04">
      <w:pPr>
        <w:pStyle w:val="P68B1DB1-Testo212"/>
        <w:spacing w:line="240" w:lineRule="exact"/>
        <w:rPr>
          <w:highlight w:val="none"/>
          <w:lang w:val="it-IT"/>
        </w:rPr>
      </w:pPr>
      <w:r w:rsidRPr="00087FE1">
        <w:rPr>
          <w:highlight w:val="none"/>
          <w:lang w:val="it-IT"/>
        </w:rPr>
        <w:t>Chapter 5: La libera prestazione dei servizi [Freedom to provide services]</w:t>
      </w:r>
    </w:p>
    <w:p w14:paraId="6CB25303" w14:textId="77777777" w:rsidR="00E87ABD" w:rsidRPr="00087FE1" w:rsidRDefault="00301A04">
      <w:pPr>
        <w:pStyle w:val="P68B1DB1-Testo213"/>
        <w:spacing w:line="240" w:lineRule="exact"/>
        <w:rPr>
          <w:highlight w:val="none"/>
          <w:lang w:val="en-GB"/>
        </w:rPr>
      </w:pPr>
      <w:r w:rsidRPr="00087FE1">
        <w:rPr>
          <w:highlight w:val="none"/>
          <w:lang w:val="en-GB"/>
        </w:rPr>
        <w:t>A.</w:t>
      </w:r>
      <w:r w:rsidRPr="00087FE1">
        <w:rPr>
          <w:highlight w:val="none"/>
          <w:lang w:val="en-GB"/>
        </w:rPr>
        <w:tab/>
        <w:t xml:space="preserve">The scope of freedom to provide services </w:t>
      </w:r>
    </w:p>
    <w:p w14:paraId="10279C9E" w14:textId="77777777" w:rsidR="00E87ABD" w:rsidRPr="00087FE1" w:rsidRDefault="00301A04">
      <w:pPr>
        <w:pStyle w:val="P68B1DB1-Testo211"/>
        <w:spacing w:line="240" w:lineRule="exact"/>
        <w:rPr>
          <w:highlight w:val="none"/>
          <w:lang w:val="en-GB"/>
        </w:rPr>
      </w:pPr>
      <w:r w:rsidRPr="00087FE1">
        <w:rPr>
          <w:highlight w:val="none"/>
          <w:lang w:val="en-GB"/>
        </w:rPr>
        <w:t>3.3</w:t>
      </w:r>
      <w:r w:rsidRPr="00087FE1">
        <w:rPr>
          <w:highlight w:val="none"/>
          <w:lang w:val="en-GB"/>
        </w:rPr>
        <w:tab/>
        <w:t>Judgment of 2 February 1989, Case 186/87, Cowan (p. 280)</w:t>
      </w:r>
    </w:p>
    <w:p w14:paraId="5AB01D0F" w14:textId="77777777" w:rsidR="00E87ABD" w:rsidRPr="00087FE1" w:rsidRDefault="00301A04">
      <w:pPr>
        <w:pStyle w:val="P68B1DB1-Testo211"/>
        <w:spacing w:line="240" w:lineRule="exact"/>
        <w:rPr>
          <w:highlight w:val="none"/>
          <w:lang w:val="en-GB"/>
        </w:rPr>
      </w:pPr>
      <w:r w:rsidRPr="00087FE1">
        <w:rPr>
          <w:highlight w:val="none"/>
          <w:lang w:val="en-GB"/>
        </w:rPr>
        <w:t>3.4</w:t>
      </w:r>
      <w:r w:rsidRPr="00087FE1">
        <w:rPr>
          <w:highlight w:val="none"/>
          <w:lang w:val="en-GB"/>
        </w:rPr>
        <w:tab/>
        <w:t>Judgment of 3 December 1974, Case 33/74, van Binsbergen (p. 281)</w:t>
      </w:r>
    </w:p>
    <w:p w14:paraId="3157A31D" w14:textId="77777777" w:rsidR="00E87ABD" w:rsidRPr="00087FE1" w:rsidRDefault="00301A04">
      <w:pPr>
        <w:pStyle w:val="P68B1DB1-Testo213"/>
        <w:spacing w:line="240" w:lineRule="exact"/>
        <w:rPr>
          <w:highlight w:val="none"/>
          <w:lang w:val="en-GB"/>
        </w:rPr>
      </w:pPr>
      <w:r w:rsidRPr="00087FE1">
        <w:rPr>
          <w:highlight w:val="none"/>
          <w:lang w:val="en-GB"/>
        </w:rPr>
        <w:t xml:space="preserve">C. </w:t>
      </w:r>
      <w:r w:rsidRPr="00087FE1">
        <w:rPr>
          <w:highlight w:val="none"/>
          <w:lang w:val="en-GB"/>
        </w:rPr>
        <w:tab/>
        <w:t>Exceptions to the freedom to provide services</w:t>
      </w:r>
    </w:p>
    <w:p w14:paraId="0A196123" w14:textId="77777777" w:rsidR="00E87ABD" w:rsidRPr="00087FE1" w:rsidRDefault="00301A04">
      <w:pPr>
        <w:pStyle w:val="P68B1DB1-Testo211"/>
        <w:spacing w:line="240" w:lineRule="exact"/>
        <w:rPr>
          <w:highlight w:val="none"/>
          <w:lang w:val="en-GB"/>
        </w:rPr>
      </w:pPr>
      <w:r w:rsidRPr="00087FE1">
        <w:rPr>
          <w:highlight w:val="none"/>
          <w:lang w:val="en-GB"/>
        </w:rPr>
        <w:t>2.1</w:t>
      </w:r>
      <w:r w:rsidRPr="00087FE1">
        <w:rPr>
          <w:highlight w:val="none"/>
          <w:lang w:val="en-GB"/>
        </w:rPr>
        <w:tab/>
        <w:t>Judgment of 14 October 2004, Case C-36/02, Omega (p. 297)</w:t>
      </w:r>
    </w:p>
    <w:p w14:paraId="0AB027C7" w14:textId="77777777" w:rsidR="00E87ABD" w:rsidRPr="00087FE1" w:rsidRDefault="00E87ABD">
      <w:pPr>
        <w:pStyle w:val="Testo2"/>
        <w:spacing w:line="240" w:lineRule="exact"/>
        <w:rPr>
          <w:rFonts w:ascii="Times New Roman" w:hAnsi="Times New Roman" w:cs="Times New Roman"/>
          <w:lang w:val="en-GB"/>
        </w:rPr>
      </w:pPr>
    </w:p>
    <w:p w14:paraId="22F2A947" w14:textId="06F09479" w:rsidR="00E87ABD" w:rsidRPr="00087FE1" w:rsidRDefault="00301A04">
      <w:pPr>
        <w:pStyle w:val="P68B1DB1-Testo211"/>
        <w:spacing w:line="240" w:lineRule="exact"/>
        <w:rPr>
          <w:highlight w:val="none"/>
          <w:lang w:val="en-GB"/>
        </w:rPr>
      </w:pPr>
      <w:r w:rsidRPr="00087FE1">
        <w:rPr>
          <w:highlight w:val="none"/>
          <w:lang w:val="en-GB"/>
        </w:rPr>
        <w:t xml:space="preserve">Alternatively, for those in possession of the </w:t>
      </w:r>
      <w:r w:rsidRPr="00087FE1">
        <w:rPr>
          <w:highlight w:val="none"/>
          <w:u w:val="single"/>
          <w:lang w:val="en-GB"/>
        </w:rPr>
        <w:t>1st edition</w:t>
      </w:r>
      <w:r w:rsidRPr="00087FE1">
        <w:rPr>
          <w:highlight w:val="none"/>
          <w:lang w:val="en-GB"/>
        </w:rPr>
        <w:t>, strictly adhering to the following list and without comparisons with the second edition or related "creative" interpretations of what is to be prepared or not:</w:t>
      </w:r>
    </w:p>
    <w:p w14:paraId="5254D42C" w14:textId="564ECC43" w:rsidR="00E87ABD" w:rsidRPr="00087FE1" w:rsidRDefault="00301A04">
      <w:pPr>
        <w:pStyle w:val="P68B1DB1-Testo211"/>
        <w:spacing w:line="240" w:lineRule="exact"/>
        <w:rPr>
          <w:highlight w:val="none"/>
          <w:lang w:val="en-GB"/>
        </w:rPr>
      </w:pPr>
      <w:r w:rsidRPr="00087FE1">
        <w:rPr>
          <w:highlight w:val="none"/>
          <w:u w:val="single"/>
          <w:lang w:val="en-GB"/>
        </w:rPr>
        <w:t>Judgments</w:t>
      </w:r>
      <w:r w:rsidRPr="00087FE1">
        <w:rPr>
          <w:highlight w:val="none"/>
          <w:lang w:val="en-GB"/>
        </w:rPr>
        <w:t xml:space="preserve"> of the Court of Justice to be prepared from the </w:t>
      </w:r>
      <w:r w:rsidRPr="00087FE1">
        <w:rPr>
          <w:highlight w:val="none"/>
          <w:u w:val="single"/>
          <w:lang w:val="en-GB"/>
        </w:rPr>
        <w:t>first edition</w:t>
      </w:r>
      <w:r w:rsidRPr="00087FE1">
        <w:rPr>
          <w:highlight w:val="none"/>
          <w:lang w:val="en-GB"/>
        </w:rPr>
        <w:t xml:space="preserve"> of the volume "Mercato unico e libertà di circolazione nell’Unione europea":</w:t>
      </w:r>
    </w:p>
    <w:p w14:paraId="03BE1885" w14:textId="77777777" w:rsidR="00E87ABD" w:rsidRPr="00087FE1" w:rsidRDefault="00E87ABD">
      <w:pPr>
        <w:pStyle w:val="Testo2"/>
        <w:spacing w:line="240" w:lineRule="exact"/>
        <w:rPr>
          <w:rFonts w:ascii="Times New Roman" w:hAnsi="Times New Roman" w:cs="Times New Roman"/>
          <w:i/>
          <w:lang w:val="en-GB"/>
        </w:rPr>
      </w:pPr>
    </w:p>
    <w:p w14:paraId="1B5C6B7C" w14:textId="332BA74D" w:rsidR="00E87ABD" w:rsidRPr="00087FE1" w:rsidRDefault="00301A04">
      <w:pPr>
        <w:pStyle w:val="P68B1DB1-Testo212"/>
        <w:spacing w:line="240" w:lineRule="exact"/>
        <w:ind w:firstLine="0"/>
        <w:rPr>
          <w:highlight w:val="none"/>
          <w:lang w:val="en-GB"/>
        </w:rPr>
      </w:pPr>
      <w:r w:rsidRPr="00087FE1">
        <w:rPr>
          <w:highlight w:val="none"/>
          <w:lang w:val="en-GB"/>
        </w:rPr>
        <w:tab/>
        <w:t xml:space="preserve">Chapter 1: La libera circolazione delle merci [Free Movement of Goods] </w:t>
      </w:r>
    </w:p>
    <w:p w14:paraId="4394432C" w14:textId="77777777" w:rsidR="00E87ABD" w:rsidRPr="00087FE1" w:rsidRDefault="00301A04">
      <w:pPr>
        <w:pStyle w:val="P68B1DB1-Testo213"/>
        <w:spacing w:line="240" w:lineRule="exact"/>
        <w:rPr>
          <w:highlight w:val="none"/>
          <w:lang w:val="en-GB"/>
        </w:rPr>
      </w:pPr>
      <w:r w:rsidRPr="00087FE1">
        <w:rPr>
          <w:highlight w:val="none"/>
          <w:lang w:val="en-GB"/>
        </w:rPr>
        <w:t>A.</w:t>
      </w:r>
      <w:r w:rsidRPr="00087FE1">
        <w:rPr>
          <w:highlight w:val="none"/>
          <w:lang w:val="en-GB"/>
        </w:rPr>
        <w:tab/>
        <w:t xml:space="preserve">The Internal Market and the Customs Union </w:t>
      </w:r>
    </w:p>
    <w:p w14:paraId="29E1C1A2" w14:textId="77777777" w:rsidR="00E87ABD" w:rsidRPr="00087FE1" w:rsidRDefault="00301A04">
      <w:pPr>
        <w:pStyle w:val="P68B1DB1-Testo211"/>
        <w:spacing w:line="240" w:lineRule="exact"/>
        <w:rPr>
          <w:highlight w:val="none"/>
          <w:lang w:val="en-GB"/>
        </w:rPr>
      </w:pPr>
      <w:r w:rsidRPr="00087FE1">
        <w:rPr>
          <w:highlight w:val="none"/>
          <w:lang w:val="en-GB"/>
        </w:rPr>
        <w:t>3.3.</w:t>
      </w:r>
      <w:r w:rsidRPr="00087FE1">
        <w:rPr>
          <w:highlight w:val="none"/>
          <w:lang w:val="en-GB"/>
        </w:rPr>
        <w:tab/>
        <w:t>Judgment of 10 December 1968, Case 7/68, Comm. vs Italy ("Italian Art") (p. 14)</w:t>
      </w:r>
    </w:p>
    <w:p w14:paraId="54CE24BD" w14:textId="7EAADFE0" w:rsidR="00E87ABD" w:rsidRPr="00087FE1" w:rsidRDefault="00301A04">
      <w:pPr>
        <w:pStyle w:val="P68B1DB1-Testo213"/>
        <w:spacing w:line="240" w:lineRule="exact"/>
        <w:ind w:left="704" w:hanging="420"/>
        <w:rPr>
          <w:highlight w:val="none"/>
          <w:lang w:val="en-GB"/>
        </w:rPr>
      </w:pPr>
      <w:r w:rsidRPr="00087FE1">
        <w:rPr>
          <w:highlight w:val="none"/>
          <w:lang w:val="en-GB"/>
        </w:rPr>
        <w:t>B.</w:t>
      </w:r>
      <w:r w:rsidRPr="00087FE1">
        <w:rPr>
          <w:highlight w:val="none"/>
          <w:lang w:val="en-GB"/>
        </w:rPr>
        <w:tab/>
        <w:t xml:space="preserve">Relevance and effects of EU laws on the free movement of goods </w:t>
      </w:r>
    </w:p>
    <w:p w14:paraId="03644C0B" w14:textId="77777777" w:rsidR="00E87ABD" w:rsidRPr="00087FE1" w:rsidRDefault="00301A04">
      <w:pPr>
        <w:pStyle w:val="P68B1DB1-Testo211"/>
        <w:spacing w:line="240" w:lineRule="exact"/>
        <w:rPr>
          <w:highlight w:val="none"/>
          <w:lang w:val="en-GB"/>
        </w:rPr>
      </w:pPr>
      <w:r w:rsidRPr="00087FE1">
        <w:rPr>
          <w:highlight w:val="none"/>
          <w:lang w:val="en-GB"/>
        </w:rPr>
        <w:t>2.1</w:t>
      </w:r>
      <w:r w:rsidRPr="00087FE1">
        <w:rPr>
          <w:highlight w:val="none"/>
          <w:lang w:val="en-GB"/>
        </w:rPr>
        <w:tab/>
        <w:t>Judgment of 5 February 1963, Case 26/62, Van Gend en Loos (p. 21)</w:t>
      </w:r>
    </w:p>
    <w:p w14:paraId="39C5EC42" w14:textId="77777777" w:rsidR="00E87ABD" w:rsidRPr="00087FE1" w:rsidRDefault="00301A04">
      <w:pPr>
        <w:pStyle w:val="P68B1DB1-Testo211"/>
        <w:spacing w:line="240" w:lineRule="exact"/>
        <w:ind w:left="704" w:hanging="420"/>
        <w:rPr>
          <w:highlight w:val="none"/>
          <w:lang w:val="en-GB"/>
        </w:rPr>
      </w:pPr>
      <w:r w:rsidRPr="00087FE1">
        <w:rPr>
          <w:highlight w:val="none"/>
          <w:lang w:val="en-GB"/>
        </w:rPr>
        <w:t>2.5</w:t>
      </w:r>
      <w:r w:rsidRPr="00087FE1">
        <w:rPr>
          <w:highlight w:val="none"/>
          <w:lang w:val="en-GB"/>
        </w:rPr>
        <w:tab/>
        <w:t>Judgment of 5 March 1996, Joined Cases C-46/96 and C-48/93, Brasserie du Pêcheur and Factortame (p. 27)</w:t>
      </w:r>
    </w:p>
    <w:p w14:paraId="79056488" w14:textId="77777777" w:rsidR="00E87ABD" w:rsidRPr="00087FE1" w:rsidRDefault="00301A04">
      <w:pPr>
        <w:pStyle w:val="P68B1DB1-Testo213"/>
        <w:spacing w:line="240" w:lineRule="exact"/>
        <w:rPr>
          <w:highlight w:val="none"/>
          <w:lang w:val="en-GB"/>
        </w:rPr>
      </w:pPr>
      <w:r w:rsidRPr="00087FE1">
        <w:rPr>
          <w:highlight w:val="none"/>
          <w:lang w:val="en-GB"/>
        </w:rPr>
        <w:t>C.</w:t>
      </w:r>
      <w:r w:rsidRPr="00087FE1">
        <w:rPr>
          <w:highlight w:val="none"/>
          <w:lang w:val="en-GB"/>
        </w:rPr>
        <w:tab/>
        <w:t>The prohibition of obstacles of a fiscal nature in trade between Member States</w:t>
      </w:r>
    </w:p>
    <w:p w14:paraId="5EEEBD53" w14:textId="0FC4470B" w:rsidR="00E87ABD" w:rsidRPr="00087FE1" w:rsidRDefault="00301A04">
      <w:pPr>
        <w:pStyle w:val="P68B1DB1-Testo211"/>
        <w:spacing w:line="240" w:lineRule="exact"/>
        <w:rPr>
          <w:highlight w:val="none"/>
          <w:lang w:val="en-GB"/>
        </w:rPr>
      </w:pPr>
      <w:r w:rsidRPr="00087FE1">
        <w:rPr>
          <w:highlight w:val="none"/>
          <w:lang w:val="en-GB"/>
        </w:rPr>
        <w:t>2.1</w:t>
      </w:r>
      <w:r w:rsidRPr="00087FE1">
        <w:rPr>
          <w:highlight w:val="none"/>
          <w:lang w:val="en-GB"/>
        </w:rPr>
        <w:tab/>
        <w:t>Judgment of 1 July 1969, Case 24/68, Comm. vs Italy (p. 39)</w:t>
      </w:r>
    </w:p>
    <w:p w14:paraId="07E2062D" w14:textId="77777777" w:rsidR="00E87ABD" w:rsidRPr="00087FE1" w:rsidRDefault="00301A04">
      <w:pPr>
        <w:pStyle w:val="P68B1DB1-Testo211"/>
        <w:spacing w:line="240" w:lineRule="exact"/>
        <w:rPr>
          <w:highlight w:val="none"/>
          <w:lang w:val="en-GB"/>
        </w:rPr>
      </w:pPr>
      <w:r w:rsidRPr="00087FE1">
        <w:rPr>
          <w:highlight w:val="none"/>
          <w:lang w:val="en-GB"/>
        </w:rPr>
        <w:t>2.5</w:t>
      </w:r>
      <w:r w:rsidRPr="00087FE1">
        <w:rPr>
          <w:highlight w:val="none"/>
          <w:lang w:val="en-GB"/>
        </w:rPr>
        <w:tab/>
        <w:t>Judgment of 26 February 1975, Case 63-74, Cadsky (p. 45)</w:t>
      </w:r>
    </w:p>
    <w:p w14:paraId="0513AAD7" w14:textId="77777777" w:rsidR="00E87ABD" w:rsidRPr="00087FE1" w:rsidRDefault="00301A04">
      <w:pPr>
        <w:pStyle w:val="P68B1DB1-Testo211"/>
        <w:spacing w:line="240" w:lineRule="exact"/>
        <w:rPr>
          <w:highlight w:val="none"/>
          <w:lang w:val="en-GB"/>
        </w:rPr>
      </w:pPr>
      <w:r w:rsidRPr="00087FE1">
        <w:rPr>
          <w:highlight w:val="none"/>
          <w:lang w:val="en-GB"/>
        </w:rPr>
        <w:t>2.8</w:t>
      </w:r>
      <w:r w:rsidRPr="00087FE1">
        <w:rPr>
          <w:highlight w:val="none"/>
          <w:lang w:val="en-GB"/>
        </w:rPr>
        <w:tab/>
        <w:t>Judgment of 4 May 1986, Case 106/84, Comm. c. Denmark (p. 49)</w:t>
      </w:r>
    </w:p>
    <w:p w14:paraId="5E8DC050" w14:textId="77777777" w:rsidR="00E87ABD" w:rsidRPr="00087FE1" w:rsidRDefault="00301A04">
      <w:pPr>
        <w:pStyle w:val="P68B1DB1-Testo211"/>
        <w:spacing w:line="240" w:lineRule="exact"/>
        <w:rPr>
          <w:highlight w:val="none"/>
          <w:lang w:val="en-GB"/>
        </w:rPr>
      </w:pPr>
      <w:r w:rsidRPr="00087FE1">
        <w:rPr>
          <w:highlight w:val="none"/>
          <w:lang w:val="en-GB"/>
        </w:rPr>
        <w:t>2.9</w:t>
      </w:r>
      <w:r w:rsidRPr="00087FE1">
        <w:rPr>
          <w:highlight w:val="none"/>
          <w:lang w:val="en-GB"/>
        </w:rPr>
        <w:tab/>
        <w:t>Judgment of 12 July 1983, Case 170/78, Comm. vs United Kingdom (p. 50)</w:t>
      </w:r>
    </w:p>
    <w:p w14:paraId="7F179E77" w14:textId="77777777" w:rsidR="00E87ABD" w:rsidRPr="00087FE1" w:rsidRDefault="00301A04">
      <w:pPr>
        <w:pStyle w:val="P68B1DB1-Testo213"/>
        <w:spacing w:line="240" w:lineRule="exact"/>
        <w:ind w:left="704" w:hanging="420"/>
        <w:rPr>
          <w:highlight w:val="none"/>
          <w:lang w:val="en-GB"/>
        </w:rPr>
      </w:pPr>
      <w:r w:rsidRPr="00087FE1">
        <w:rPr>
          <w:highlight w:val="none"/>
          <w:lang w:val="en-GB"/>
        </w:rPr>
        <w:t>D.</w:t>
      </w:r>
      <w:r w:rsidRPr="00087FE1">
        <w:rPr>
          <w:highlight w:val="none"/>
          <w:lang w:val="en-GB"/>
        </w:rPr>
        <w:tab/>
        <w:t xml:space="preserve">The prohibition of quantitative restrictions and measures having an equivalent effect: the distinctly applicable measures </w:t>
      </w:r>
    </w:p>
    <w:p w14:paraId="48274087" w14:textId="77777777" w:rsidR="00E87ABD" w:rsidRPr="00087FE1" w:rsidRDefault="00301A04">
      <w:pPr>
        <w:pStyle w:val="P68B1DB1-Testo211"/>
        <w:spacing w:line="240" w:lineRule="exact"/>
        <w:rPr>
          <w:highlight w:val="none"/>
          <w:lang w:val="en-GB"/>
        </w:rPr>
      </w:pPr>
      <w:r w:rsidRPr="00087FE1">
        <w:rPr>
          <w:highlight w:val="none"/>
          <w:lang w:val="en-GB"/>
        </w:rPr>
        <w:t>3.1</w:t>
      </w:r>
      <w:r w:rsidRPr="00087FE1">
        <w:rPr>
          <w:highlight w:val="none"/>
          <w:lang w:val="en-GB"/>
        </w:rPr>
        <w:tab/>
        <w:t>Judgment of 11 July 1974, Case 8/74, Dassonville (p. 62)</w:t>
      </w:r>
    </w:p>
    <w:p w14:paraId="24E35A47" w14:textId="77777777" w:rsidR="00E87ABD" w:rsidRPr="00087FE1" w:rsidRDefault="00301A04">
      <w:pPr>
        <w:pStyle w:val="P68B1DB1-Testo211"/>
        <w:spacing w:line="240" w:lineRule="exact"/>
        <w:rPr>
          <w:highlight w:val="none"/>
          <w:lang w:val="en-GB"/>
        </w:rPr>
      </w:pPr>
      <w:r w:rsidRPr="00087FE1">
        <w:rPr>
          <w:highlight w:val="none"/>
          <w:lang w:val="en-GB"/>
        </w:rPr>
        <w:t>3.3</w:t>
      </w:r>
      <w:r w:rsidRPr="00087FE1">
        <w:rPr>
          <w:highlight w:val="none"/>
          <w:lang w:val="en-GB"/>
        </w:rPr>
        <w:tab/>
        <w:t>Judgment of 17 June 1987, Case 154/85, Comm. vs Italy (p. 65)</w:t>
      </w:r>
    </w:p>
    <w:p w14:paraId="410B2A76" w14:textId="77777777" w:rsidR="00E87ABD" w:rsidRPr="00087FE1" w:rsidRDefault="00301A04">
      <w:pPr>
        <w:pStyle w:val="P68B1DB1-Testo211"/>
        <w:spacing w:line="240" w:lineRule="exact"/>
        <w:rPr>
          <w:highlight w:val="none"/>
          <w:lang w:val="en-GB"/>
        </w:rPr>
      </w:pPr>
      <w:r w:rsidRPr="00087FE1">
        <w:rPr>
          <w:highlight w:val="none"/>
          <w:lang w:val="en-GB"/>
        </w:rPr>
        <w:t>3.4</w:t>
      </w:r>
      <w:r w:rsidRPr="00087FE1">
        <w:rPr>
          <w:highlight w:val="none"/>
          <w:lang w:val="en-GB"/>
        </w:rPr>
        <w:tab/>
        <w:t>Judgment of 9 December 1981, Case 193/80, Comm. vs Italy ("Vinegar") (p. 66)</w:t>
      </w:r>
    </w:p>
    <w:p w14:paraId="6468D472" w14:textId="77777777" w:rsidR="00E87ABD" w:rsidRPr="00087FE1" w:rsidRDefault="00301A04">
      <w:pPr>
        <w:pStyle w:val="P68B1DB1-Testo213"/>
        <w:spacing w:line="240" w:lineRule="exact"/>
        <w:rPr>
          <w:highlight w:val="none"/>
          <w:lang w:val="en-GB"/>
        </w:rPr>
      </w:pPr>
      <w:r w:rsidRPr="00087FE1">
        <w:rPr>
          <w:highlight w:val="none"/>
          <w:lang w:val="en-GB"/>
        </w:rPr>
        <w:t>E.</w:t>
      </w:r>
      <w:r w:rsidRPr="00087FE1">
        <w:rPr>
          <w:highlight w:val="none"/>
          <w:lang w:val="en-GB"/>
        </w:rPr>
        <w:tab/>
        <w:t xml:space="preserve">Following: the measures indiscriminately applicable </w:t>
      </w:r>
    </w:p>
    <w:p w14:paraId="24AB029E" w14:textId="77777777" w:rsidR="00E87ABD" w:rsidRPr="00087FE1" w:rsidRDefault="00301A04">
      <w:pPr>
        <w:pStyle w:val="P68B1DB1-Testo211"/>
        <w:spacing w:line="240" w:lineRule="exact"/>
        <w:rPr>
          <w:highlight w:val="none"/>
          <w:lang w:val="en-GB"/>
        </w:rPr>
      </w:pPr>
      <w:r w:rsidRPr="00087FE1">
        <w:rPr>
          <w:highlight w:val="none"/>
          <w:lang w:val="en-GB"/>
        </w:rPr>
        <w:t>3.1</w:t>
      </w:r>
      <w:r w:rsidRPr="00087FE1">
        <w:rPr>
          <w:highlight w:val="none"/>
          <w:lang w:val="en-GB"/>
        </w:rPr>
        <w:tab/>
        <w:t>Judgment of 20 February 1979, Case 120/78, "Cassis de Dijon" (p. 81)</w:t>
      </w:r>
    </w:p>
    <w:p w14:paraId="4F901BC6" w14:textId="77777777" w:rsidR="00E87ABD" w:rsidRPr="00087FE1" w:rsidRDefault="00301A04">
      <w:pPr>
        <w:pStyle w:val="P68B1DB1-Testo211"/>
        <w:spacing w:line="240" w:lineRule="exact"/>
        <w:ind w:left="704" w:hanging="420"/>
        <w:rPr>
          <w:highlight w:val="none"/>
          <w:lang w:val="en-GB"/>
        </w:rPr>
      </w:pPr>
      <w:r w:rsidRPr="00087FE1">
        <w:rPr>
          <w:highlight w:val="none"/>
          <w:lang w:val="en-GB"/>
        </w:rPr>
        <w:t>3.2</w:t>
      </w:r>
      <w:r w:rsidRPr="00087FE1">
        <w:rPr>
          <w:highlight w:val="none"/>
          <w:lang w:val="en-GB"/>
        </w:rPr>
        <w:tab/>
        <w:t>Judgment of 24 November 1993, Joined Cases C-267/91 and C-268/91, Keck and Mithouard (p. 83)</w:t>
      </w:r>
    </w:p>
    <w:p w14:paraId="6686537E" w14:textId="77777777" w:rsidR="00E87ABD" w:rsidRPr="00087FE1" w:rsidRDefault="00301A04">
      <w:pPr>
        <w:pStyle w:val="P68B1DB1-Testo211"/>
        <w:spacing w:line="240" w:lineRule="exact"/>
        <w:rPr>
          <w:highlight w:val="none"/>
          <w:lang w:val="en-GB"/>
        </w:rPr>
      </w:pPr>
      <w:r w:rsidRPr="00087FE1">
        <w:rPr>
          <w:highlight w:val="none"/>
          <w:lang w:val="en-GB"/>
        </w:rPr>
        <w:t>3.3</w:t>
      </w:r>
      <w:r w:rsidRPr="00087FE1">
        <w:rPr>
          <w:highlight w:val="none"/>
          <w:lang w:val="en-GB"/>
        </w:rPr>
        <w:tab/>
        <w:t>Judgment of 11 December 2003, Case C-322/01, Deutscher Apothekerverband (p. 85)</w:t>
      </w:r>
    </w:p>
    <w:p w14:paraId="4A3DFD70" w14:textId="77777777" w:rsidR="00E87ABD" w:rsidRPr="00087FE1" w:rsidRDefault="00301A04">
      <w:pPr>
        <w:pStyle w:val="P68B1DB1-Testo213"/>
        <w:spacing w:line="240" w:lineRule="exact"/>
        <w:rPr>
          <w:highlight w:val="none"/>
          <w:lang w:val="en-GB"/>
        </w:rPr>
      </w:pPr>
      <w:r w:rsidRPr="00087FE1">
        <w:rPr>
          <w:highlight w:val="none"/>
          <w:lang w:val="en-GB"/>
        </w:rPr>
        <w:t>F.</w:t>
      </w:r>
      <w:r w:rsidRPr="00087FE1">
        <w:rPr>
          <w:highlight w:val="none"/>
          <w:lang w:val="en-GB"/>
        </w:rPr>
        <w:tab/>
        <w:t xml:space="preserve">Margins of regulatory autonomy of the Member States in the protection of general interests </w:t>
      </w:r>
    </w:p>
    <w:p w14:paraId="47308469" w14:textId="77777777" w:rsidR="00E87ABD" w:rsidRPr="00087FE1" w:rsidRDefault="00301A04">
      <w:pPr>
        <w:pStyle w:val="P68B1DB1-Testo211"/>
        <w:spacing w:line="240" w:lineRule="exact"/>
        <w:rPr>
          <w:highlight w:val="none"/>
          <w:lang w:val="en-GB"/>
        </w:rPr>
      </w:pPr>
      <w:r w:rsidRPr="00087FE1">
        <w:rPr>
          <w:highlight w:val="none"/>
          <w:lang w:val="en-GB"/>
        </w:rPr>
        <w:t>3.1</w:t>
      </w:r>
      <w:r w:rsidRPr="00087FE1">
        <w:rPr>
          <w:highlight w:val="none"/>
          <w:lang w:val="en-GB"/>
        </w:rPr>
        <w:tab/>
        <w:t>Judgment of 14 July 1988, Case 90/86, Zoni (p. 111)</w:t>
      </w:r>
    </w:p>
    <w:p w14:paraId="2B547801" w14:textId="77777777" w:rsidR="00E87ABD" w:rsidRPr="00087FE1" w:rsidRDefault="00301A04">
      <w:pPr>
        <w:pStyle w:val="P68B1DB1-Testo211"/>
        <w:spacing w:line="240" w:lineRule="exact"/>
        <w:ind w:left="704" w:hanging="420"/>
        <w:rPr>
          <w:highlight w:val="none"/>
          <w:lang w:val="en-GB"/>
        </w:rPr>
      </w:pPr>
      <w:r w:rsidRPr="00087FE1">
        <w:rPr>
          <w:highlight w:val="none"/>
          <w:lang w:val="en-GB"/>
        </w:rPr>
        <w:t>3.5</w:t>
      </w:r>
      <w:r w:rsidRPr="00087FE1">
        <w:rPr>
          <w:highlight w:val="none"/>
          <w:lang w:val="en-GB"/>
        </w:rPr>
        <w:tab/>
        <w:t>Judgment of 11 September 2014, Joined Cases C-204/12 to C-208/12, Essent Belgium (p. 120)</w:t>
      </w:r>
    </w:p>
    <w:p w14:paraId="628C7941" w14:textId="22EF5FC8" w:rsidR="00E87ABD" w:rsidRPr="00087FE1" w:rsidRDefault="00301A04">
      <w:pPr>
        <w:pStyle w:val="P68B1DB1-Testo211"/>
        <w:spacing w:line="240" w:lineRule="exact"/>
        <w:rPr>
          <w:highlight w:val="none"/>
          <w:lang w:val="it-IT"/>
        </w:rPr>
      </w:pPr>
      <w:r w:rsidRPr="00087FE1">
        <w:rPr>
          <w:highlight w:val="none"/>
          <w:lang w:val="en-GB"/>
        </w:rPr>
        <w:t>3.7</w:t>
      </w:r>
      <w:r w:rsidRPr="00087FE1">
        <w:rPr>
          <w:highlight w:val="none"/>
          <w:lang w:val="en-GB"/>
        </w:rPr>
        <w:tab/>
        <w:t xml:space="preserve">Judgment of 20 March 2003, Case 3/00, Denmark vs Comm. </w:t>
      </w:r>
      <w:r w:rsidRPr="00087FE1">
        <w:rPr>
          <w:highlight w:val="none"/>
          <w:lang w:val="it-IT"/>
        </w:rPr>
        <w:t>(p. 125)</w:t>
      </w:r>
    </w:p>
    <w:p w14:paraId="4214A9F9" w14:textId="2CBE0752" w:rsidR="00E87ABD" w:rsidRPr="00087FE1" w:rsidRDefault="00301A04">
      <w:pPr>
        <w:pStyle w:val="P68B1DB1-Testo212"/>
        <w:spacing w:line="240" w:lineRule="exact"/>
        <w:ind w:firstLine="0"/>
        <w:rPr>
          <w:highlight w:val="none"/>
          <w:lang w:val="it-IT"/>
        </w:rPr>
      </w:pPr>
      <w:r w:rsidRPr="00087FE1">
        <w:rPr>
          <w:highlight w:val="none"/>
          <w:lang w:val="it-IT"/>
        </w:rPr>
        <w:tab/>
        <w:t xml:space="preserve">Chapter 2: La cittadinanza europea [European Citizenship] </w:t>
      </w:r>
    </w:p>
    <w:p w14:paraId="2DC99CDC" w14:textId="77777777" w:rsidR="00E87ABD" w:rsidRPr="00087FE1" w:rsidRDefault="00301A04">
      <w:pPr>
        <w:pStyle w:val="P68B1DB1-Testo213"/>
        <w:spacing w:line="240" w:lineRule="exact"/>
        <w:rPr>
          <w:highlight w:val="none"/>
          <w:lang w:val="en-GB"/>
        </w:rPr>
      </w:pPr>
      <w:r w:rsidRPr="00087FE1">
        <w:rPr>
          <w:highlight w:val="none"/>
          <w:lang w:val="en-GB"/>
        </w:rPr>
        <w:t>A.</w:t>
      </w:r>
      <w:r w:rsidRPr="00087FE1">
        <w:rPr>
          <w:highlight w:val="none"/>
          <w:lang w:val="en-GB"/>
        </w:rPr>
        <w:tab/>
        <w:t xml:space="preserve">European Citizenship and National Citizenship </w:t>
      </w:r>
    </w:p>
    <w:p w14:paraId="2A9370E0" w14:textId="77777777" w:rsidR="00E87ABD" w:rsidRPr="00087FE1" w:rsidRDefault="00301A04">
      <w:pPr>
        <w:pStyle w:val="P68B1DB1-Testo211"/>
        <w:spacing w:line="240" w:lineRule="exact"/>
        <w:rPr>
          <w:highlight w:val="none"/>
          <w:lang w:val="en-GB"/>
        </w:rPr>
      </w:pPr>
      <w:r w:rsidRPr="00087FE1">
        <w:rPr>
          <w:highlight w:val="none"/>
          <w:lang w:val="en-GB"/>
        </w:rPr>
        <w:t>3.1</w:t>
      </w:r>
      <w:r w:rsidRPr="00087FE1">
        <w:rPr>
          <w:highlight w:val="none"/>
          <w:lang w:val="en-GB"/>
        </w:rPr>
        <w:tab/>
        <w:t>Judgment of 7 July 1992, Case C-369/90, Micheletti (p. 139)</w:t>
      </w:r>
    </w:p>
    <w:p w14:paraId="755E09C1" w14:textId="77777777" w:rsidR="00E87ABD" w:rsidRPr="00087FE1" w:rsidRDefault="00301A04">
      <w:pPr>
        <w:pStyle w:val="P68B1DB1-Testo211"/>
        <w:spacing w:line="240" w:lineRule="exact"/>
        <w:rPr>
          <w:highlight w:val="none"/>
          <w:lang w:val="en-GB"/>
        </w:rPr>
      </w:pPr>
      <w:r w:rsidRPr="00087FE1">
        <w:rPr>
          <w:highlight w:val="none"/>
          <w:lang w:val="en-GB"/>
        </w:rPr>
        <w:t>3.3</w:t>
      </w:r>
      <w:r w:rsidRPr="00087FE1">
        <w:rPr>
          <w:highlight w:val="none"/>
          <w:lang w:val="en-GB"/>
        </w:rPr>
        <w:tab/>
        <w:t>Judgment of 2 October 2008, Case C-148/02, Garcia Avello (p. 142)</w:t>
      </w:r>
    </w:p>
    <w:p w14:paraId="33A91CC9" w14:textId="77777777" w:rsidR="00E87ABD" w:rsidRPr="00087FE1" w:rsidRDefault="00301A04">
      <w:pPr>
        <w:pStyle w:val="P68B1DB1-Testo211"/>
        <w:spacing w:line="240" w:lineRule="exact"/>
        <w:rPr>
          <w:highlight w:val="none"/>
          <w:lang w:val="en-GB"/>
        </w:rPr>
      </w:pPr>
      <w:r w:rsidRPr="00087FE1">
        <w:rPr>
          <w:highlight w:val="none"/>
          <w:lang w:val="en-GB"/>
        </w:rPr>
        <w:t>3.4</w:t>
      </w:r>
      <w:r w:rsidRPr="00087FE1">
        <w:rPr>
          <w:highlight w:val="none"/>
          <w:lang w:val="en-GB"/>
        </w:rPr>
        <w:tab/>
        <w:t>Judgment of 2 March 2010, Case C-135/08, Rottmann (p. 144)</w:t>
      </w:r>
    </w:p>
    <w:p w14:paraId="79C2259B" w14:textId="77777777" w:rsidR="00E87ABD" w:rsidRPr="00087FE1" w:rsidRDefault="00301A04">
      <w:pPr>
        <w:pStyle w:val="P68B1DB1-Testo213"/>
        <w:spacing w:line="240" w:lineRule="exact"/>
        <w:rPr>
          <w:highlight w:val="none"/>
          <w:lang w:val="en-GB"/>
        </w:rPr>
      </w:pPr>
      <w:r w:rsidRPr="00087FE1">
        <w:rPr>
          <w:highlight w:val="none"/>
          <w:lang w:val="en-GB"/>
        </w:rPr>
        <w:t>B.</w:t>
      </w:r>
      <w:r w:rsidRPr="00087FE1">
        <w:rPr>
          <w:highlight w:val="none"/>
          <w:lang w:val="en-GB"/>
        </w:rPr>
        <w:tab/>
        <w:t xml:space="preserve">Civil rights stemming from European citizenship </w:t>
      </w:r>
    </w:p>
    <w:p w14:paraId="28299C4D" w14:textId="77777777" w:rsidR="00E87ABD" w:rsidRPr="00087FE1" w:rsidRDefault="00301A04">
      <w:pPr>
        <w:pStyle w:val="P68B1DB1-Testo211"/>
        <w:spacing w:line="240" w:lineRule="exact"/>
        <w:rPr>
          <w:highlight w:val="none"/>
          <w:lang w:val="en-GB"/>
        </w:rPr>
      </w:pPr>
      <w:r w:rsidRPr="00087FE1">
        <w:rPr>
          <w:highlight w:val="none"/>
          <w:lang w:val="en-GB"/>
        </w:rPr>
        <w:t>3.3</w:t>
      </w:r>
      <w:r w:rsidRPr="00087FE1">
        <w:rPr>
          <w:highlight w:val="none"/>
          <w:lang w:val="en-GB"/>
        </w:rPr>
        <w:tab/>
        <w:t>Judgment of 19 October 2004, Case C-200/02, Chen (p. 163)</w:t>
      </w:r>
    </w:p>
    <w:p w14:paraId="5F5E0C83" w14:textId="77777777" w:rsidR="00E87ABD" w:rsidRPr="00087FE1" w:rsidRDefault="00301A04">
      <w:pPr>
        <w:pStyle w:val="P68B1DB1-Testo211"/>
        <w:spacing w:line="240" w:lineRule="exact"/>
        <w:rPr>
          <w:highlight w:val="none"/>
          <w:lang w:val="en-GB"/>
        </w:rPr>
      </w:pPr>
      <w:r w:rsidRPr="00087FE1">
        <w:rPr>
          <w:highlight w:val="none"/>
          <w:lang w:val="en-GB"/>
        </w:rPr>
        <w:t>3.5</w:t>
      </w:r>
      <w:r w:rsidRPr="00087FE1">
        <w:rPr>
          <w:highlight w:val="none"/>
          <w:lang w:val="en-GB"/>
        </w:rPr>
        <w:tab/>
        <w:t>Judgment of 8 March 2011, Case C-34/09, Ruiz Zambrano (p. 168)</w:t>
      </w:r>
    </w:p>
    <w:p w14:paraId="3612F5ED" w14:textId="112BA02C" w:rsidR="00E87ABD" w:rsidRPr="00087FE1" w:rsidRDefault="00301A04">
      <w:pPr>
        <w:pStyle w:val="P68B1DB1-Testo212"/>
        <w:spacing w:line="240" w:lineRule="exact"/>
        <w:ind w:firstLine="0"/>
        <w:rPr>
          <w:highlight w:val="none"/>
          <w:lang w:val="en-GB"/>
        </w:rPr>
      </w:pPr>
      <w:r w:rsidRPr="00087FE1">
        <w:rPr>
          <w:highlight w:val="none"/>
          <w:lang w:val="en-GB"/>
        </w:rPr>
        <w:tab/>
        <w:t xml:space="preserve">Chapter 4: La libertà di stabilimento [Freedom of establishment] </w:t>
      </w:r>
    </w:p>
    <w:p w14:paraId="10715400" w14:textId="77777777" w:rsidR="00E87ABD" w:rsidRPr="00087FE1" w:rsidRDefault="00301A04">
      <w:pPr>
        <w:pStyle w:val="P68B1DB1-Testo213"/>
        <w:spacing w:line="240" w:lineRule="exact"/>
        <w:rPr>
          <w:highlight w:val="none"/>
          <w:lang w:val="en-GB"/>
        </w:rPr>
      </w:pPr>
      <w:r w:rsidRPr="00087FE1">
        <w:rPr>
          <w:highlight w:val="none"/>
          <w:lang w:val="en-GB"/>
        </w:rPr>
        <w:t>A.</w:t>
      </w:r>
      <w:r w:rsidRPr="00087FE1">
        <w:rPr>
          <w:highlight w:val="none"/>
          <w:lang w:val="en-GB"/>
        </w:rPr>
        <w:tab/>
        <w:t xml:space="preserve">The scope of freedom of establishment </w:t>
      </w:r>
    </w:p>
    <w:p w14:paraId="66B041BD" w14:textId="77777777" w:rsidR="00E87ABD" w:rsidRPr="00087FE1" w:rsidRDefault="00301A04">
      <w:pPr>
        <w:pStyle w:val="P68B1DB1-Testo211"/>
        <w:spacing w:line="240" w:lineRule="exact"/>
        <w:rPr>
          <w:highlight w:val="none"/>
          <w:lang w:val="en-GB"/>
        </w:rPr>
      </w:pPr>
      <w:r w:rsidRPr="00087FE1">
        <w:rPr>
          <w:highlight w:val="none"/>
          <w:lang w:val="en-GB"/>
        </w:rPr>
        <w:t>3.1</w:t>
      </w:r>
      <w:r w:rsidRPr="00087FE1">
        <w:rPr>
          <w:highlight w:val="none"/>
          <w:lang w:val="en-GB"/>
        </w:rPr>
        <w:tab/>
        <w:t>Judgment of 30 November 1995, Case C-55/94, Gebhard (p. 268)</w:t>
      </w:r>
    </w:p>
    <w:p w14:paraId="12D6E347" w14:textId="77777777" w:rsidR="00E87ABD" w:rsidRPr="00087FE1" w:rsidRDefault="00301A04">
      <w:pPr>
        <w:pStyle w:val="P68B1DB1-Testo211"/>
        <w:spacing w:line="240" w:lineRule="exact"/>
        <w:rPr>
          <w:highlight w:val="none"/>
          <w:lang w:val="en-GB"/>
        </w:rPr>
      </w:pPr>
      <w:r w:rsidRPr="00087FE1">
        <w:rPr>
          <w:highlight w:val="none"/>
          <w:lang w:val="en-GB"/>
        </w:rPr>
        <w:t>3.3</w:t>
      </w:r>
      <w:r w:rsidRPr="00087FE1">
        <w:rPr>
          <w:highlight w:val="none"/>
          <w:lang w:val="en-GB"/>
        </w:rPr>
        <w:tab/>
        <w:t>Judgment of 27 September 1988, Case 81/87, Daily Mail (p. 270)</w:t>
      </w:r>
    </w:p>
    <w:p w14:paraId="58D9D8AF" w14:textId="77777777" w:rsidR="00E87ABD" w:rsidRPr="00087FE1" w:rsidRDefault="00301A04">
      <w:pPr>
        <w:pStyle w:val="P68B1DB1-Testo213"/>
        <w:spacing w:line="240" w:lineRule="exact"/>
        <w:rPr>
          <w:highlight w:val="none"/>
          <w:lang w:val="en-GB"/>
        </w:rPr>
      </w:pPr>
      <w:r w:rsidRPr="00087FE1">
        <w:rPr>
          <w:highlight w:val="none"/>
          <w:lang w:val="en-GB"/>
        </w:rPr>
        <w:t>B.</w:t>
      </w:r>
      <w:r w:rsidRPr="00087FE1">
        <w:rPr>
          <w:highlight w:val="none"/>
          <w:lang w:val="en-GB"/>
        </w:rPr>
        <w:tab/>
        <w:t xml:space="preserve">Negative integration in terms of establishment </w:t>
      </w:r>
    </w:p>
    <w:p w14:paraId="385A8CC3" w14:textId="77777777" w:rsidR="00E87ABD" w:rsidRPr="00087FE1" w:rsidRDefault="00301A04">
      <w:pPr>
        <w:pStyle w:val="P68B1DB1-Testo211"/>
        <w:spacing w:line="240" w:lineRule="exact"/>
        <w:rPr>
          <w:highlight w:val="none"/>
          <w:lang w:val="en-GB"/>
        </w:rPr>
      </w:pPr>
      <w:r w:rsidRPr="00087FE1">
        <w:rPr>
          <w:highlight w:val="none"/>
          <w:lang w:val="en-GB"/>
        </w:rPr>
        <w:t>2.1</w:t>
      </w:r>
      <w:r w:rsidRPr="00087FE1">
        <w:rPr>
          <w:highlight w:val="none"/>
          <w:lang w:val="en-GB"/>
        </w:rPr>
        <w:tab/>
        <w:t>Judgment of 27 September 1988, Case 81/87, Daily Mail (p. 276)</w:t>
      </w:r>
    </w:p>
    <w:p w14:paraId="04D6F0DB" w14:textId="77777777" w:rsidR="00E87ABD" w:rsidRPr="00087FE1" w:rsidRDefault="00301A04">
      <w:pPr>
        <w:pStyle w:val="P68B1DB1-Testo211"/>
        <w:spacing w:line="240" w:lineRule="exact"/>
        <w:rPr>
          <w:highlight w:val="none"/>
          <w:lang w:val="en-GB"/>
        </w:rPr>
      </w:pPr>
      <w:r w:rsidRPr="00087FE1">
        <w:rPr>
          <w:highlight w:val="none"/>
          <w:lang w:val="en-GB"/>
        </w:rPr>
        <w:t>2.3</w:t>
      </w:r>
      <w:r w:rsidRPr="00087FE1">
        <w:rPr>
          <w:highlight w:val="none"/>
          <w:lang w:val="en-GB"/>
        </w:rPr>
        <w:tab/>
        <w:t>Judgment of 12 July 1984, Case 107/83, Klopp (p. 278)</w:t>
      </w:r>
    </w:p>
    <w:p w14:paraId="44E2B722" w14:textId="35DA3DF5" w:rsidR="00E87ABD" w:rsidRPr="00087FE1" w:rsidRDefault="00301A04">
      <w:pPr>
        <w:pStyle w:val="P68B1DB1-Testo212"/>
        <w:spacing w:line="240" w:lineRule="exact"/>
        <w:ind w:firstLine="0"/>
        <w:rPr>
          <w:highlight w:val="none"/>
          <w:lang w:val="it-IT"/>
        </w:rPr>
      </w:pPr>
      <w:r w:rsidRPr="00087FE1">
        <w:rPr>
          <w:highlight w:val="none"/>
          <w:lang w:val="en-GB"/>
        </w:rPr>
        <w:tab/>
      </w:r>
      <w:r w:rsidRPr="00087FE1">
        <w:rPr>
          <w:highlight w:val="none"/>
          <w:lang w:val="it-IT"/>
        </w:rPr>
        <w:t>Chapter 5: La libera prestazione dei servizi [Freedom to provide services]</w:t>
      </w:r>
    </w:p>
    <w:p w14:paraId="48986852" w14:textId="77777777" w:rsidR="00E87ABD" w:rsidRPr="00087FE1" w:rsidRDefault="00301A04">
      <w:pPr>
        <w:pStyle w:val="P68B1DB1-Testo213"/>
        <w:spacing w:line="240" w:lineRule="exact"/>
        <w:rPr>
          <w:highlight w:val="none"/>
          <w:lang w:val="en-GB"/>
        </w:rPr>
      </w:pPr>
      <w:r w:rsidRPr="00087FE1">
        <w:rPr>
          <w:highlight w:val="none"/>
          <w:lang w:val="en-GB"/>
        </w:rPr>
        <w:t>A.</w:t>
      </w:r>
      <w:r w:rsidRPr="00087FE1">
        <w:rPr>
          <w:highlight w:val="none"/>
          <w:lang w:val="en-GB"/>
        </w:rPr>
        <w:tab/>
        <w:t xml:space="preserve">The scope of freedom to provide services </w:t>
      </w:r>
    </w:p>
    <w:p w14:paraId="19E6EAE2" w14:textId="77777777" w:rsidR="00E87ABD" w:rsidRPr="00087FE1" w:rsidRDefault="00301A04">
      <w:pPr>
        <w:pStyle w:val="P68B1DB1-Testo211"/>
        <w:spacing w:line="240" w:lineRule="exact"/>
        <w:rPr>
          <w:highlight w:val="none"/>
          <w:lang w:val="en-GB"/>
        </w:rPr>
      </w:pPr>
      <w:r w:rsidRPr="00087FE1">
        <w:rPr>
          <w:highlight w:val="none"/>
          <w:lang w:val="en-GB"/>
        </w:rPr>
        <w:t>3.5</w:t>
      </w:r>
      <w:r w:rsidRPr="00087FE1">
        <w:rPr>
          <w:highlight w:val="none"/>
          <w:lang w:val="en-GB"/>
        </w:rPr>
        <w:tab/>
        <w:t>Judgment of 2 February 1989, Case 186/87, Cowan (p. 341)</w:t>
      </w:r>
    </w:p>
    <w:p w14:paraId="4ACD9274" w14:textId="77777777" w:rsidR="00E87ABD" w:rsidRPr="00087FE1" w:rsidRDefault="00301A04">
      <w:pPr>
        <w:pStyle w:val="P68B1DB1-Testo211"/>
        <w:spacing w:line="240" w:lineRule="exact"/>
        <w:rPr>
          <w:highlight w:val="none"/>
          <w:lang w:val="en-GB"/>
        </w:rPr>
      </w:pPr>
      <w:r w:rsidRPr="00087FE1">
        <w:rPr>
          <w:highlight w:val="none"/>
          <w:lang w:val="en-GB"/>
        </w:rPr>
        <w:t>3.6</w:t>
      </w:r>
      <w:r w:rsidRPr="00087FE1">
        <w:rPr>
          <w:highlight w:val="none"/>
          <w:lang w:val="en-GB"/>
        </w:rPr>
        <w:tab/>
        <w:t>Judgment of 3 December 1974, Case 33/74, van Binsbergen (p. 343)</w:t>
      </w:r>
    </w:p>
    <w:p w14:paraId="4B784861" w14:textId="77777777" w:rsidR="00E87ABD" w:rsidRPr="00087FE1" w:rsidRDefault="00301A04">
      <w:pPr>
        <w:pStyle w:val="P68B1DB1-Testo211"/>
        <w:spacing w:line="240" w:lineRule="exact"/>
        <w:ind w:left="704" w:hanging="420"/>
        <w:rPr>
          <w:highlight w:val="none"/>
          <w:lang w:val="en-GB"/>
        </w:rPr>
      </w:pPr>
      <w:r w:rsidRPr="00087FE1">
        <w:rPr>
          <w:highlight w:val="none"/>
          <w:lang w:val="en-GB"/>
        </w:rPr>
        <w:t>3.8</w:t>
      </w:r>
      <w:r w:rsidRPr="00087FE1">
        <w:rPr>
          <w:highlight w:val="none"/>
          <w:lang w:val="en-GB"/>
        </w:rPr>
        <w:tab/>
        <w:t>Judgment of 26 February 1991, Case C-198/89, Comm. vs Greece (tourist guides) (p. 344)</w:t>
      </w:r>
    </w:p>
    <w:p w14:paraId="607D7BB7" w14:textId="67E44643" w:rsidR="00E87ABD" w:rsidRPr="00087FE1" w:rsidRDefault="00301A04">
      <w:pPr>
        <w:pStyle w:val="P68B1DB1-Normale9"/>
        <w:spacing w:before="240" w:after="120"/>
        <w:rPr>
          <w:lang w:val="en-GB"/>
        </w:rPr>
      </w:pPr>
      <w:r w:rsidRPr="00087FE1">
        <w:rPr>
          <w:lang w:val="en-GB"/>
        </w:rPr>
        <w:t>NOTES AND PREREQUISITES</w:t>
      </w:r>
    </w:p>
    <w:p w14:paraId="49000A73" w14:textId="77777777" w:rsidR="00E87ABD" w:rsidRPr="00087FE1" w:rsidRDefault="00301A04">
      <w:pPr>
        <w:pStyle w:val="P68B1DB1-Normale14"/>
        <w:tabs>
          <w:tab w:val="clear" w:pos="284"/>
        </w:tabs>
        <w:ind w:firstLine="284"/>
        <w:rPr>
          <w:highlight w:val="none"/>
          <w:lang w:val="en-GB"/>
        </w:rPr>
      </w:pPr>
      <w:r w:rsidRPr="00087FE1">
        <w:rPr>
          <w:highlight w:val="none"/>
          <w:lang w:val="en-GB"/>
        </w:rPr>
        <w:t>Notes</w:t>
      </w:r>
    </w:p>
    <w:p w14:paraId="219DB7FE" w14:textId="77777777" w:rsidR="00E87ABD" w:rsidRPr="00087FE1" w:rsidRDefault="00301A04">
      <w:pPr>
        <w:pStyle w:val="P68B1DB1-Normale8"/>
        <w:tabs>
          <w:tab w:val="clear" w:pos="284"/>
        </w:tabs>
        <w:ind w:firstLine="284"/>
        <w:rPr>
          <w:highlight w:val="none"/>
          <w:lang w:val="en-GB"/>
        </w:rPr>
      </w:pPr>
      <w:r w:rsidRPr="00087FE1">
        <w:rPr>
          <w:highlight w:val="none"/>
          <w:lang w:val="en-GB"/>
        </w:rPr>
        <w:t>In light of the teaching method used, that is, lectures in the classroom that do not only cover the theory but also include the discussion of judgments under the guidance of the lecturer and practical aspects of customs law, attendance at lectures is recommended.</w:t>
      </w:r>
    </w:p>
    <w:p w14:paraId="3AA8596D" w14:textId="77777777" w:rsidR="00E87ABD" w:rsidRPr="00087FE1" w:rsidRDefault="00301A04">
      <w:pPr>
        <w:pStyle w:val="P68B1DB1-Normale8"/>
        <w:tabs>
          <w:tab w:val="clear" w:pos="284"/>
        </w:tabs>
        <w:ind w:firstLine="284"/>
        <w:rPr>
          <w:highlight w:val="none"/>
          <w:lang w:val="en-GB"/>
        </w:rPr>
      </w:pPr>
      <w:r w:rsidRPr="00087FE1">
        <w:rPr>
          <w:highlight w:val="none"/>
          <w:lang w:val="en-GB"/>
        </w:rPr>
        <w:t>Even without attending lectures, however, the volume for study provides a complete coverage of the subject. The holder of the course is available for any clarification for those who have not been able to attend.</w:t>
      </w:r>
    </w:p>
    <w:p w14:paraId="355D6D05" w14:textId="77777777" w:rsidR="00E87ABD" w:rsidRPr="00087FE1" w:rsidRDefault="00E87ABD">
      <w:pPr>
        <w:tabs>
          <w:tab w:val="clear" w:pos="284"/>
        </w:tabs>
        <w:ind w:firstLine="284"/>
        <w:rPr>
          <w:rFonts w:ascii="Times New Roman" w:hAnsi="Times New Roman" w:cs="Times New Roman"/>
          <w:i/>
          <w:sz w:val="18"/>
          <w:lang w:val="en-GB"/>
        </w:rPr>
      </w:pPr>
    </w:p>
    <w:p w14:paraId="056CD2B4" w14:textId="6B765310" w:rsidR="00E87ABD" w:rsidRPr="00087FE1" w:rsidRDefault="00301A04">
      <w:pPr>
        <w:pStyle w:val="P68B1DB1-Normale14"/>
        <w:tabs>
          <w:tab w:val="clear" w:pos="284"/>
        </w:tabs>
        <w:ind w:firstLine="284"/>
        <w:rPr>
          <w:highlight w:val="none"/>
          <w:lang w:val="en-GB"/>
        </w:rPr>
      </w:pPr>
      <w:r w:rsidRPr="00087FE1">
        <w:rPr>
          <w:highlight w:val="none"/>
          <w:lang w:val="en-GB"/>
        </w:rPr>
        <w:t>Prerequisites</w:t>
      </w:r>
    </w:p>
    <w:p w14:paraId="7279C54C" w14:textId="6C6E8FF8" w:rsidR="00E87ABD" w:rsidRPr="00087FE1" w:rsidRDefault="00301A04" w:rsidP="00857894">
      <w:pPr>
        <w:pStyle w:val="P68B1DB1-Normale8"/>
        <w:tabs>
          <w:tab w:val="clear" w:pos="284"/>
        </w:tabs>
        <w:ind w:firstLine="284"/>
        <w:rPr>
          <w:rFonts w:eastAsia="Times New Roman"/>
          <w:highlight w:val="none"/>
          <w:lang w:val="en-GB"/>
        </w:rPr>
      </w:pPr>
      <w:r w:rsidRPr="00087FE1">
        <w:rPr>
          <w:highlight w:val="none"/>
          <w:lang w:val="en-GB"/>
        </w:rPr>
        <w:t>There is no need for prior training on basic and related legal issues. Knowledge of the fundamental features of EU law and a basic familiarity with legal language is certainly useful, but not indispensable. The materials consulted in class will be partly in English, so it is desirable for students to have an adequate ability to understand complex texts in that language; nonetheless, explanations in class or clarifications after lectures may compensate for any linguistic comprehension difficulties.</w:t>
      </w:r>
    </w:p>
    <w:p w14:paraId="0EFACE89" w14:textId="77777777" w:rsidR="00857894" w:rsidRPr="00087FE1" w:rsidRDefault="00857894" w:rsidP="00857894">
      <w:pPr>
        <w:pStyle w:val="P68B1DB1-Normale8"/>
        <w:spacing w:before="240" w:after="120" w:line="220" w:lineRule="exact"/>
        <w:rPr>
          <w:highlight w:val="none"/>
          <w:lang w:val="en-GB"/>
        </w:rPr>
      </w:pPr>
      <w:r w:rsidRPr="00087FE1">
        <w:rPr>
          <w:highlight w:val="none"/>
          <w:lang w:val="en-GB"/>
        </w:rPr>
        <w:t>Further information can be found on the lecturer's webpage at http://docenti.unicatt.it/web/searchByName.do?language=Eng or on the Faculty notice board.</w:t>
      </w:r>
    </w:p>
    <w:p w14:paraId="176F51AD" w14:textId="77777777" w:rsidR="00E87ABD" w:rsidRPr="00857894" w:rsidRDefault="00E87ABD">
      <w:pPr>
        <w:tabs>
          <w:tab w:val="clear" w:pos="284"/>
        </w:tabs>
        <w:spacing w:line="220" w:lineRule="exact"/>
        <w:ind w:firstLine="284"/>
        <w:rPr>
          <w:rFonts w:ascii="Times New Roman" w:eastAsia="Times New Roman" w:hAnsi="Times New Roman" w:cs="Times New Roman"/>
          <w:i/>
          <w:sz w:val="18"/>
          <w:lang w:val="en-GB"/>
        </w:rPr>
      </w:pPr>
    </w:p>
    <w:p w14:paraId="249D0DC6" w14:textId="77777777" w:rsidR="00E87ABD" w:rsidRPr="00857894" w:rsidRDefault="00E87ABD">
      <w:pPr>
        <w:tabs>
          <w:tab w:val="clear" w:pos="284"/>
        </w:tabs>
        <w:spacing w:line="220" w:lineRule="exact"/>
        <w:ind w:firstLine="284"/>
        <w:rPr>
          <w:rFonts w:ascii="Times New Roman" w:eastAsia="Times New Roman" w:hAnsi="Times New Roman" w:cs="Times New Roman"/>
          <w:i/>
          <w:lang w:val="en-GB"/>
        </w:rPr>
      </w:pPr>
    </w:p>
    <w:p w14:paraId="4C984647" w14:textId="77777777" w:rsidR="00E87ABD" w:rsidRPr="00857894" w:rsidRDefault="00E87ABD">
      <w:pPr>
        <w:spacing w:before="240" w:after="120"/>
        <w:rPr>
          <w:rFonts w:hint="eastAsia"/>
          <w:b/>
          <w:sz w:val="18"/>
          <w:lang w:val="en-GB"/>
        </w:rPr>
      </w:pPr>
    </w:p>
    <w:sectPr w:rsidR="00E87ABD" w:rsidRPr="00857894">
      <w:pgSz w:w="11900" w:h="16840"/>
      <w:pgMar w:top="3515" w:right="2608" w:bottom="3515" w:left="260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ngrid van den Berg" w:date="2024-01-17T14:20:00Z" w:initials="Iv">
    <w:p w14:paraId="5BB2B206" w14:textId="77777777" w:rsidR="00511CB7" w:rsidRDefault="00511CB7" w:rsidP="00511CB7">
      <w:pPr>
        <w:jc w:val="left"/>
        <w:rPr>
          <w:rFonts w:hint="eastAsia"/>
        </w:rPr>
      </w:pPr>
      <w:r>
        <w:rPr>
          <w:rStyle w:val="Rimandocommento"/>
          <w:rFonts w:hint="eastAsia"/>
        </w:rPr>
        <w:annotationRef/>
      </w:r>
      <w:r>
        <w:rPr>
          <w:rFonts w:hint="eastAsia"/>
        </w:rPr>
        <w:t>I have left all the chapter titles in Italian (with translation in brackets) as I assume they are in Italian in the original volume quoted.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B2B2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C9BAF18" w16cex:dateUtc="2024-01-17T1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B2B206" w16cid:durableId="4C9BAF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D8102" w14:textId="77777777" w:rsidR="00C66152" w:rsidRDefault="00C66152">
      <w:pPr>
        <w:spacing w:line="240" w:lineRule="auto"/>
        <w:rPr>
          <w:rFonts w:hint="eastAsia"/>
        </w:rPr>
      </w:pPr>
      <w:r>
        <w:separator/>
      </w:r>
    </w:p>
  </w:endnote>
  <w:endnote w:type="continuationSeparator" w:id="0">
    <w:p w14:paraId="4E08F41A" w14:textId="77777777" w:rsidR="00C66152" w:rsidRDefault="00C66152">
      <w:pPr>
        <w:spacing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Roman">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61AC" w14:textId="77777777" w:rsidR="00C66152" w:rsidRDefault="00C66152">
      <w:pPr>
        <w:spacing w:line="240" w:lineRule="auto"/>
        <w:rPr>
          <w:rFonts w:hint="eastAsia"/>
        </w:rPr>
      </w:pPr>
      <w:r>
        <w:separator/>
      </w:r>
    </w:p>
  </w:footnote>
  <w:footnote w:type="continuationSeparator" w:id="0">
    <w:p w14:paraId="30FA0F8A" w14:textId="77777777" w:rsidR="00C66152" w:rsidRDefault="00C66152">
      <w:pPr>
        <w:spacing w:line="240" w:lineRule="auto"/>
        <w:rPr>
          <w:rFonts w:hint="eastAsia"/>
        </w:rPr>
      </w:pPr>
      <w:r>
        <w:continuationSeparator/>
      </w:r>
    </w:p>
  </w:footnote>
  <w:footnote w:id="1">
    <w:p w14:paraId="74E2CCCF" w14:textId="77777777" w:rsidR="00E87ABD" w:rsidRDefault="00301A04">
      <w:pPr>
        <w:pStyle w:val="Testonotaapidipagina"/>
        <w:rPr>
          <w:rFonts w:hint="eastAsia"/>
        </w:rPr>
      </w:pPr>
      <w:r>
        <w:rPr>
          <w:rStyle w:val="Rimandonotaapidipagina"/>
          <w:rFonts w:hint="eastAsia"/>
          <w:sz w:val="18"/>
        </w:rPr>
        <w:footnoteRef/>
      </w:r>
      <w:r>
        <w:rPr>
          <w:rFonts w:hint="eastAsia"/>
          <w:sz w:val="18"/>
        </w:rPr>
        <w:t>The texts indicated in the reading list may be purchased at the University bookstores; they may also be bought from other outlets.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16389"/>
    <w:multiLevelType w:val="hybridMultilevel"/>
    <w:tmpl w:val="8B68A928"/>
    <w:styleLink w:val="Stileimportato2"/>
    <w:lvl w:ilvl="0" w:tplc="F2AC3EC2">
      <w:start w:val="1"/>
      <w:numFmt w:val="bullet"/>
      <w:lvlText w:val="-"/>
      <w:lvlJc w:val="left"/>
      <w:pPr>
        <w:ind w:left="72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051A2092">
      <w:start w:val="1"/>
      <w:numFmt w:val="bullet"/>
      <w:lvlText w:val="-"/>
      <w:lvlJc w:val="left"/>
      <w:pPr>
        <w:ind w:left="108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EE76D4FC">
      <w:start w:val="1"/>
      <w:numFmt w:val="bullet"/>
      <w:lvlText w:val="-"/>
      <w:lvlJc w:val="left"/>
      <w:pPr>
        <w:ind w:left="180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456215BE">
      <w:start w:val="1"/>
      <w:numFmt w:val="bullet"/>
      <w:lvlText w:val="-"/>
      <w:lvlJc w:val="left"/>
      <w:pPr>
        <w:ind w:left="252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691A7DA6">
      <w:start w:val="1"/>
      <w:numFmt w:val="bullet"/>
      <w:lvlText w:val="-"/>
      <w:lvlJc w:val="left"/>
      <w:pPr>
        <w:ind w:left="324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F108897A">
      <w:start w:val="1"/>
      <w:numFmt w:val="bullet"/>
      <w:lvlText w:val="-"/>
      <w:lvlJc w:val="left"/>
      <w:pPr>
        <w:ind w:left="396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B052B504">
      <w:start w:val="1"/>
      <w:numFmt w:val="bullet"/>
      <w:lvlText w:val="-"/>
      <w:lvlJc w:val="left"/>
      <w:pPr>
        <w:ind w:left="468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D64A82DA">
      <w:start w:val="1"/>
      <w:numFmt w:val="bullet"/>
      <w:lvlText w:val="-"/>
      <w:lvlJc w:val="left"/>
      <w:pPr>
        <w:ind w:left="540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62CEF684">
      <w:start w:val="1"/>
      <w:numFmt w:val="bullet"/>
      <w:lvlText w:val="-"/>
      <w:lvlJc w:val="left"/>
      <w:pPr>
        <w:ind w:left="612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1" w15:restartNumberingAfterBreak="0">
    <w:nsid w:val="1CAE049B"/>
    <w:multiLevelType w:val="hybridMultilevel"/>
    <w:tmpl w:val="B51227F0"/>
    <w:numStyleLink w:val="Puntielenco"/>
  </w:abstractNum>
  <w:abstractNum w:abstractNumId="2" w15:restartNumberingAfterBreak="0">
    <w:nsid w:val="32CA2A92"/>
    <w:multiLevelType w:val="hybridMultilevel"/>
    <w:tmpl w:val="8B68A928"/>
    <w:numStyleLink w:val="Stileimportato2"/>
  </w:abstractNum>
  <w:abstractNum w:abstractNumId="3" w15:restartNumberingAfterBreak="0">
    <w:nsid w:val="53232717"/>
    <w:multiLevelType w:val="hybridMultilevel"/>
    <w:tmpl w:val="AE0EEC5C"/>
    <w:numStyleLink w:val="Stileimportato3"/>
  </w:abstractNum>
  <w:abstractNum w:abstractNumId="4" w15:restartNumberingAfterBreak="0">
    <w:nsid w:val="5C794507"/>
    <w:multiLevelType w:val="hybridMultilevel"/>
    <w:tmpl w:val="B51227F0"/>
    <w:styleLink w:val="Puntielenco"/>
    <w:lvl w:ilvl="0" w:tplc="995E5ABA">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2E68A288">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AE1CD336">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5E4C0DD8">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9AA074B6">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014C4314">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AD20590C">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B4E0918A">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01B0273A">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51A3D4C"/>
    <w:multiLevelType w:val="hybridMultilevel"/>
    <w:tmpl w:val="AE0EEC5C"/>
    <w:styleLink w:val="Stileimportato3"/>
    <w:lvl w:ilvl="0" w:tplc="4B30CDCE">
      <w:start w:val="1"/>
      <w:numFmt w:val="bullet"/>
      <w:lvlText w:val="-"/>
      <w:lvlJc w:val="left"/>
      <w:pPr>
        <w:ind w:left="72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E64EC2E0">
      <w:start w:val="1"/>
      <w:numFmt w:val="bullet"/>
      <w:lvlText w:val="-"/>
      <w:lvlJc w:val="left"/>
      <w:pPr>
        <w:ind w:left="108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8D72CA6A">
      <w:start w:val="1"/>
      <w:numFmt w:val="bullet"/>
      <w:lvlText w:val="-"/>
      <w:lvlJc w:val="left"/>
      <w:pPr>
        <w:ind w:left="180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C4662DBA">
      <w:start w:val="1"/>
      <w:numFmt w:val="bullet"/>
      <w:lvlText w:val="-"/>
      <w:lvlJc w:val="left"/>
      <w:pPr>
        <w:ind w:left="252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C180F372">
      <w:start w:val="1"/>
      <w:numFmt w:val="bullet"/>
      <w:lvlText w:val="-"/>
      <w:lvlJc w:val="left"/>
      <w:pPr>
        <w:ind w:left="324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E306F118">
      <w:start w:val="1"/>
      <w:numFmt w:val="bullet"/>
      <w:lvlText w:val="-"/>
      <w:lvlJc w:val="left"/>
      <w:pPr>
        <w:ind w:left="396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EB585580">
      <w:start w:val="1"/>
      <w:numFmt w:val="bullet"/>
      <w:lvlText w:val="-"/>
      <w:lvlJc w:val="left"/>
      <w:pPr>
        <w:ind w:left="468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872052D2">
      <w:start w:val="1"/>
      <w:numFmt w:val="bullet"/>
      <w:lvlText w:val="-"/>
      <w:lvlJc w:val="left"/>
      <w:pPr>
        <w:ind w:left="540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BA9EB816">
      <w:start w:val="1"/>
      <w:numFmt w:val="bullet"/>
      <w:lvlText w:val="-"/>
      <w:lvlJc w:val="left"/>
      <w:pPr>
        <w:ind w:left="612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num w:numId="1" w16cid:durableId="843590846">
    <w:abstractNumId w:val="4"/>
  </w:num>
  <w:num w:numId="2" w16cid:durableId="261845162">
    <w:abstractNumId w:val="1"/>
  </w:num>
  <w:num w:numId="3" w16cid:durableId="747773170">
    <w:abstractNumId w:val="0"/>
  </w:num>
  <w:num w:numId="4" w16cid:durableId="710230682">
    <w:abstractNumId w:val="2"/>
  </w:num>
  <w:num w:numId="5" w16cid:durableId="8800835">
    <w:abstractNumId w:val="5"/>
  </w:num>
  <w:num w:numId="6" w16cid:durableId="157550404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grid van den Berg">
    <w15:presenceInfo w15:providerId="Windows Live" w15:userId="37c2ec13b0326c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21B"/>
    <w:rsid w:val="00002882"/>
    <w:rsid w:val="00087FE1"/>
    <w:rsid w:val="000E7F5C"/>
    <w:rsid w:val="001778AB"/>
    <w:rsid w:val="002A22C3"/>
    <w:rsid w:val="002B7B4F"/>
    <w:rsid w:val="002E03F4"/>
    <w:rsid w:val="00301A04"/>
    <w:rsid w:val="00344394"/>
    <w:rsid w:val="00381EE4"/>
    <w:rsid w:val="00511CB7"/>
    <w:rsid w:val="005B1A81"/>
    <w:rsid w:val="00627EF6"/>
    <w:rsid w:val="0067604A"/>
    <w:rsid w:val="006C29CD"/>
    <w:rsid w:val="006F4506"/>
    <w:rsid w:val="00735A74"/>
    <w:rsid w:val="00765279"/>
    <w:rsid w:val="00797DEE"/>
    <w:rsid w:val="00857894"/>
    <w:rsid w:val="008B2FFE"/>
    <w:rsid w:val="008E5D8A"/>
    <w:rsid w:val="00B137FA"/>
    <w:rsid w:val="00BC6DA2"/>
    <w:rsid w:val="00C075EB"/>
    <w:rsid w:val="00C66152"/>
    <w:rsid w:val="00D12CC4"/>
    <w:rsid w:val="00E87ABD"/>
    <w:rsid w:val="00ED421B"/>
    <w:rsid w:val="159968BB"/>
    <w:rsid w:val="304A79F9"/>
    <w:rsid w:val="37431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79A6B"/>
  <w15:docId w15:val="{0506C3FD-8D6A-4126-A7EC-3287EF39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ZA"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Roman" w:hAnsi="Times Roman" w:cs="Arial Unicode MS"/>
      <w:color w:val="000000"/>
      <w:u w:color="000000"/>
    </w:rPr>
  </w:style>
  <w:style w:type="paragraph" w:styleId="Titolo1">
    <w:name w:val="heading 1"/>
    <w:next w:val="Titolo2"/>
    <w:uiPriority w:val="9"/>
    <w:qFormat/>
    <w:pPr>
      <w:tabs>
        <w:tab w:val="left" w:pos="284"/>
      </w:tabs>
      <w:spacing w:before="480" w:line="240" w:lineRule="exact"/>
      <w:jc w:val="both"/>
      <w:outlineLvl w:val="0"/>
    </w:pPr>
    <w:rPr>
      <w:rFonts w:ascii="Times Roman" w:hAnsi="Times Roman" w:cs="Arial Unicode MS"/>
      <w:b/>
      <w:color w:val="000000"/>
      <w:u w:color="000000"/>
    </w:rPr>
  </w:style>
  <w:style w:type="paragraph" w:styleId="Titolo2">
    <w:name w:val="heading 2"/>
    <w:next w:val="Titolo3"/>
    <w:uiPriority w:val="9"/>
    <w:unhideWhenUsed/>
    <w:qFormat/>
    <w:pPr>
      <w:tabs>
        <w:tab w:val="left" w:pos="284"/>
      </w:tabs>
      <w:spacing w:line="240" w:lineRule="exact"/>
      <w:jc w:val="both"/>
      <w:outlineLvl w:val="1"/>
    </w:pPr>
    <w:rPr>
      <w:rFonts w:ascii="Times Roman" w:hAnsi="Times Roman" w:cs="Arial Unicode MS"/>
      <w:smallCaps/>
      <w:color w:val="000000"/>
      <w:sz w:val="18"/>
      <w:u w:color="000000"/>
    </w:rPr>
  </w:style>
  <w:style w:type="paragraph" w:styleId="Titolo3">
    <w:name w:val="heading 3"/>
    <w:next w:val="Normale"/>
    <w:uiPriority w:val="9"/>
    <w:semiHidden/>
    <w:unhideWhenUsed/>
    <w:qFormat/>
    <w:pPr>
      <w:tabs>
        <w:tab w:val="left" w:pos="284"/>
      </w:tabs>
      <w:spacing w:before="240" w:after="120" w:line="240" w:lineRule="exact"/>
      <w:jc w:val="both"/>
      <w:outlineLvl w:val="2"/>
    </w:pPr>
    <w:rPr>
      <w:rFonts w:ascii="Times Roman" w:hAnsi="Times Roman" w:cs="Arial Unicode MS"/>
      <w:i/>
      <w:caps/>
      <w:color w:val="000000"/>
      <w:sz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14:textOutline w14:w="0" w14:cap="flat" w14:cmpd="sng" w14:algn="ctr">
        <w14:noFill/>
        <w14:prstDash w14:val="solid"/>
        <w14:bevel/>
      </w14:textOutline>
    </w:rPr>
  </w:style>
  <w:style w:type="numbering" w:customStyle="1" w:styleId="Puntielenco">
    <w:name w:val="Punti elenco"/>
    <w:pPr>
      <w:numPr>
        <w:numId w:val="1"/>
      </w:numPr>
    </w:p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paragraph" w:customStyle="1" w:styleId="Testo2">
    <w:name w:val="Testo 2"/>
    <w:pPr>
      <w:tabs>
        <w:tab w:val="left" w:pos="284"/>
      </w:tabs>
      <w:spacing w:line="220" w:lineRule="exact"/>
      <w:ind w:firstLine="284"/>
      <w:jc w:val="both"/>
    </w:pPr>
    <w:rPr>
      <w:rFonts w:ascii="Times Roman" w:hAnsi="Times Roman" w:cs="Arial Unicode MS"/>
      <w:color w:val="000000"/>
      <w:sz w:val="18"/>
      <w:u w:color="000000"/>
    </w:rPr>
  </w:style>
  <w:style w:type="paragraph" w:customStyle="1" w:styleId="Testo1">
    <w:name w:val="Testo 1"/>
    <w:pPr>
      <w:tabs>
        <w:tab w:val="left" w:pos="284"/>
      </w:tabs>
      <w:spacing w:line="220" w:lineRule="exact"/>
      <w:ind w:left="284" w:hanging="284"/>
      <w:jc w:val="both"/>
    </w:pPr>
    <w:rPr>
      <w:rFonts w:ascii="Times Roman" w:eastAsia="Times Roman" w:hAnsi="Times Roman" w:cs="Times Roman"/>
      <w:color w:val="000000"/>
      <w:sz w:val="18"/>
      <w:u w:color="000000"/>
    </w:rPr>
  </w:style>
  <w:style w:type="paragraph" w:styleId="Testonotaapidipagina">
    <w:name w:val="footnote text"/>
    <w:basedOn w:val="Normale"/>
    <w:link w:val="TestonotaapidipaginaCarattere"/>
    <w:uiPriority w:val="99"/>
    <w:semiHidden/>
    <w:unhideWhenUsed/>
    <w:rsid w:val="002B7B4F"/>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2B7B4F"/>
    <w:rPr>
      <w:rFonts w:ascii="Times Roman" w:hAnsi="Times Roman" w:cs="Arial Unicode MS"/>
      <w:color w:val="000000"/>
      <w:u w:color="000000"/>
    </w:rPr>
  </w:style>
  <w:style w:type="character" w:styleId="Rimandonotaapidipagina">
    <w:name w:val="footnote reference"/>
    <w:basedOn w:val="Carpredefinitoparagrafo"/>
    <w:uiPriority w:val="99"/>
    <w:semiHidden/>
    <w:unhideWhenUsed/>
    <w:rsid w:val="002B7B4F"/>
    <w:rPr>
      <w:vertAlign w:val="superscript"/>
    </w:rPr>
  </w:style>
  <w:style w:type="character" w:customStyle="1" w:styleId="Menzionenonrisolta1">
    <w:name w:val="Menzione non risolta1"/>
    <w:basedOn w:val="Carpredefinitoparagrafo"/>
    <w:uiPriority w:val="99"/>
    <w:semiHidden/>
    <w:unhideWhenUsed/>
    <w:rsid w:val="00344394"/>
    <w:rPr>
      <w:color w:val="605E5C"/>
      <w:shd w:val="clear" w:color="auto" w:fill="E1DFDD"/>
    </w:rPr>
  </w:style>
  <w:style w:type="paragraph" w:styleId="Intestazione">
    <w:name w:val="header"/>
    <w:basedOn w:val="Normale"/>
    <w:link w:val="IntestazioneCarattere"/>
    <w:uiPriority w:val="99"/>
    <w:unhideWhenUsed/>
    <w:rsid w:val="005B1A81"/>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B1A81"/>
    <w:rPr>
      <w:rFonts w:ascii="Times Roman" w:hAnsi="Times Roman" w:cs="Arial Unicode MS"/>
      <w:color w:val="000000"/>
      <w:u w:color="000000"/>
    </w:rPr>
  </w:style>
  <w:style w:type="paragraph" w:styleId="Pidipagina">
    <w:name w:val="footer"/>
    <w:basedOn w:val="Normale"/>
    <w:link w:val="PidipaginaCarattere"/>
    <w:uiPriority w:val="99"/>
    <w:unhideWhenUsed/>
    <w:rsid w:val="005B1A81"/>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B1A81"/>
    <w:rPr>
      <w:rFonts w:ascii="Times Roman" w:hAnsi="Times Roman" w:cs="Arial Unicode MS"/>
      <w:color w:val="000000"/>
      <w:u w:color="000000"/>
    </w:rPr>
  </w:style>
  <w:style w:type="paragraph" w:customStyle="1" w:styleId="P68B1DB1-Normale1">
    <w:name w:val="P68B1DB1-Normale1"/>
    <w:basedOn w:val="Normale"/>
    <w:rPr>
      <w:b/>
      <w:i/>
      <w:sz w:val="18"/>
    </w:rPr>
  </w:style>
  <w:style w:type="paragraph" w:customStyle="1" w:styleId="P68B1DB1-Normale2">
    <w:name w:val="P68B1DB1-Normale2"/>
    <w:basedOn w:val="Normale"/>
    <w:rPr>
      <w:b/>
      <w:i/>
    </w:rPr>
  </w:style>
  <w:style w:type="paragraph" w:customStyle="1" w:styleId="P68B1DB1-Normale3">
    <w:name w:val="P68B1DB1-Normale3"/>
    <w:basedOn w:val="Normale"/>
    <w:rPr>
      <w:rFonts w:ascii="Times New Roman" w:hAnsi="Times New Roman"/>
      <w:highlight w:val="yellow"/>
    </w:rPr>
  </w:style>
  <w:style w:type="paragraph" w:customStyle="1" w:styleId="P68B1DB1-Normale4">
    <w:name w:val="P68B1DB1-Normale4"/>
    <w:basedOn w:val="Normale"/>
    <w:rPr>
      <w:highlight w:val="yellow"/>
    </w:rPr>
  </w:style>
  <w:style w:type="paragraph" w:customStyle="1" w:styleId="P68B1DB1-Normale5">
    <w:name w:val="P68B1DB1-Normale5"/>
    <w:basedOn w:val="Normale"/>
    <w:rPr>
      <w:rFonts w:ascii="Times New Roman" w:hAnsi="Times New Roman"/>
      <w:b/>
      <w:i/>
    </w:rPr>
  </w:style>
  <w:style w:type="paragraph" w:customStyle="1" w:styleId="P68B1DB1-Normale6">
    <w:name w:val="P68B1DB1-Normale6"/>
    <w:basedOn w:val="Normale"/>
    <w:rPr>
      <w:rFonts w:ascii="Times New Roman" w:hAnsi="Times New Roman"/>
      <w:i/>
      <w:highlight w:val="yellow"/>
    </w:rPr>
  </w:style>
  <w:style w:type="paragraph" w:customStyle="1" w:styleId="P68B1DB1-Normale7">
    <w:name w:val="P68B1DB1-Normale7"/>
    <w:basedOn w:val="Normale"/>
    <w:rPr>
      <w:rFonts w:ascii="Times New Roman" w:hAnsi="Times New Roman"/>
      <w:highlight w:val="yellow"/>
      <w14:textOutline w14:w="0" w14:cap="flat" w14:cmpd="sng" w14:algn="ctr">
        <w14:noFill/>
        <w14:prstDash w14:val="solid"/>
        <w14:bevel/>
      </w14:textOutline>
    </w:rPr>
  </w:style>
  <w:style w:type="paragraph" w:customStyle="1" w:styleId="P68B1DB1-Normale8">
    <w:name w:val="P68B1DB1-Normale8"/>
    <w:basedOn w:val="Normale"/>
    <w:rPr>
      <w:rFonts w:ascii="Times New Roman" w:hAnsi="Times New Roman" w:cs="Times New Roman"/>
      <w:sz w:val="18"/>
      <w:highlight w:val="yellow"/>
    </w:rPr>
  </w:style>
  <w:style w:type="paragraph" w:customStyle="1" w:styleId="P68B1DB1-Normale9">
    <w:name w:val="P68B1DB1-Normale9"/>
    <w:basedOn w:val="Normale"/>
    <w:rPr>
      <w:rFonts w:ascii="Times New Roman" w:hAnsi="Times New Roman" w:cs="Times New Roman"/>
      <w:b/>
      <w:i/>
      <w:sz w:val="18"/>
    </w:rPr>
  </w:style>
  <w:style w:type="paragraph" w:customStyle="1" w:styleId="P68B1DB1-Normale10">
    <w:name w:val="P68B1DB1-Normale10"/>
    <w:basedOn w:val="Normale"/>
    <w:rPr>
      <w:rFonts w:ascii="Times New Roman" w:hAnsi="Times New Roman" w:cs="Times New Roman"/>
      <w:sz w:val="18"/>
    </w:rPr>
  </w:style>
  <w:style w:type="paragraph" w:customStyle="1" w:styleId="P68B1DB1-Testo211">
    <w:name w:val="P68B1DB1-Testo211"/>
    <w:basedOn w:val="Testo2"/>
    <w:rPr>
      <w:rFonts w:ascii="Times New Roman" w:hAnsi="Times New Roman" w:cs="Times New Roman"/>
      <w:highlight w:val="yellow"/>
    </w:rPr>
  </w:style>
  <w:style w:type="paragraph" w:customStyle="1" w:styleId="P68B1DB1-Testo212">
    <w:name w:val="P68B1DB1-Testo212"/>
    <w:basedOn w:val="Testo2"/>
    <w:rPr>
      <w:rFonts w:ascii="Times New Roman" w:hAnsi="Times New Roman" w:cs="Times New Roman"/>
      <w:i/>
      <w:highlight w:val="yellow"/>
    </w:rPr>
  </w:style>
  <w:style w:type="paragraph" w:customStyle="1" w:styleId="P68B1DB1-Testo213">
    <w:name w:val="P68B1DB1-Testo213"/>
    <w:basedOn w:val="Testo2"/>
    <w:rPr>
      <w:rFonts w:ascii="Times New Roman" w:hAnsi="Times New Roman" w:cs="Times New Roman"/>
      <w:highlight w:val="yellow"/>
      <w:u w:val="single"/>
    </w:rPr>
  </w:style>
  <w:style w:type="paragraph" w:customStyle="1" w:styleId="P68B1DB1-Normale14">
    <w:name w:val="P68B1DB1-Normale14"/>
    <w:basedOn w:val="Normale"/>
    <w:rPr>
      <w:rFonts w:ascii="Times New Roman" w:hAnsi="Times New Roman" w:cs="Times New Roman"/>
      <w:i/>
      <w:sz w:val="18"/>
      <w:highlight w:val="yellow"/>
    </w:rPr>
  </w:style>
  <w:style w:type="character" w:styleId="Rimandocommento">
    <w:name w:val="annotation reference"/>
    <w:basedOn w:val="Carpredefinitoparagrafo"/>
    <w:uiPriority w:val="99"/>
    <w:semiHidden/>
    <w:unhideWhenUsed/>
    <w:rsid w:val="00511CB7"/>
    <w:rPr>
      <w:sz w:val="16"/>
      <w:szCs w:val="16"/>
    </w:rPr>
  </w:style>
  <w:style w:type="paragraph" w:styleId="Testocommento">
    <w:name w:val="annotation text"/>
    <w:basedOn w:val="Normale"/>
    <w:link w:val="TestocommentoCarattere"/>
    <w:uiPriority w:val="99"/>
    <w:semiHidden/>
    <w:unhideWhenUsed/>
    <w:rsid w:val="00511CB7"/>
    <w:pPr>
      <w:spacing w:line="240" w:lineRule="auto"/>
    </w:pPr>
  </w:style>
  <w:style w:type="character" w:customStyle="1" w:styleId="TestocommentoCarattere">
    <w:name w:val="Testo commento Carattere"/>
    <w:basedOn w:val="Carpredefinitoparagrafo"/>
    <w:link w:val="Testocommento"/>
    <w:uiPriority w:val="99"/>
    <w:semiHidden/>
    <w:rsid w:val="00511CB7"/>
    <w:rPr>
      <w:rFonts w:ascii="Times Roman" w:hAnsi="Times Roman"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511CB7"/>
    <w:rPr>
      <w:b/>
      <w:bCs/>
    </w:rPr>
  </w:style>
  <w:style w:type="character" w:customStyle="1" w:styleId="SoggettocommentoCarattere">
    <w:name w:val="Soggetto commento Carattere"/>
    <w:basedOn w:val="TestocommentoCarattere"/>
    <w:link w:val="Soggettocommento"/>
    <w:uiPriority w:val="99"/>
    <w:semiHidden/>
    <w:rsid w:val="00511CB7"/>
    <w:rPr>
      <w:rFonts w:ascii="Times Roman" w:hAnsi="Times Roman"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medeo-arena-francesco-bestagno-giulia-rossolillo/mercato-unico-e-liberta-di-circolazione-nellunione-europea-9788892133341-683168.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A1D46-A1F0-4EE8-BEB6-5211B7C5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1997</Words>
  <Characters>11385</Characters>
  <Application>Microsoft Office Word</Application>
  <DocSecurity>0</DocSecurity>
  <Lines>94</Lines>
  <Paragraphs>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Guizzon</dc:creator>
  <cp:lastModifiedBy>Mensi Rossella</cp:lastModifiedBy>
  <cp:revision>3</cp:revision>
  <dcterms:created xsi:type="dcterms:W3CDTF">2024-02-14T09:20:00Z</dcterms:created>
  <dcterms:modified xsi:type="dcterms:W3CDTF">2024-03-01T11:14:00Z</dcterms:modified>
</cp:coreProperties>
</file>