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DE7" w14:textId="77777777" w:rsidR="006F1772" w:rsidRPr="0027577C" w:rsidRDefault="0027577C" w:rsidP="006472F4">
      <w:pPr>
        <w:pStyle w:val="Titolo1"/>
        <w:jc w:val="both"/>
        <w:rPr>
          <w:noProof w:val="0"/>
        </w:rPr>
      </w:pPr>
      <w:r>
        <w:t xml:space="preserve">History of Medieval Philosophy </w:t>
      </w:r>
    </w:p>
    <w:p w14:paraId="20A37D78" w14:textId="1874F767" w:rsidR="008525FD" w:rsidRPr="004D7905" w:rsidRDefault="008525FD" w:rsidP="006472F4">
      <w:pPr>
        <w:pStyle w:val="Titolo2"/>
        <w:jc w:val="both"/>
      </w:pPr>
      <w:r>
        <w:t>Prof. Paola Anna Maria Müller</w:t>
      </w:r>
    </w:p>
    <w:p w14:paraId="1B2E2CB2" w14:textId="77777777" w:rsidR="00E701B9" w:rsidRPr="00E701B9" w:rsidRDefault="00E701B9" w:rsidP="00E701B9">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55755FE3" w14:textId="77777777" w:rsidR="000A5370" w:rsidRPr="00632A62" w:rsidRDefault="000A5370" w:rsidP="000A5370">
      <w:pPr>
        <w:rPr>
          <w:rFonts w:ascii="Times New Roman" w:hAnsi="Times New Roman"/>
        </w:rPr>
      </w:pPr>
      <w:r>
        <w:rPr>
          <w:rFonts w:ascii="Times New Roman" w:hAnsi="Times New Roman"/>
        </w:rPr>
        <w:t>The aim of the course is to present and explore medieval philosophy.</w:t>
      </w:r>
      <w:r>
        <w:rPr>
          <w:rFonts w:ascii="Times New Roman" w:hAnsi="Times New Roman"/>
          <w:color w:val="555555"/>
        </w:rPr>
        <w:t xml:space="preserve"> </w:t>
      </w:r>
      <w:r>
        <w:rPr>
          <w:rFonts w:ascii="Times New Roman" w:hAnsi="Times New Roman"/>
        </w:rPr>
        <w:t>By the end of the course, students will have developed modular and cumulative knowledge of essential elements of medieval philosophy, and the ability to identify historical and theoretical factors and make use of the latest literature.  Beginning with the critical analysis of the terms “medieval philosophy” and “scholastic”, the course will adopt the perspective that historical and philosophical research is critical knowledge. By the end of the course, students will be able to navigate, with independence of judgement, the field of the history of philosophy, and understand the importance of overcoming the clichéd view that classifies the medieval period and its philosophy as the “dark ages”.</w:t>
      </w:r>
    </w:p>
    <w:p w14:paraId="12EC5C49" w14:textId="77777777" w:rsidR="00E701B9" w:rsidRPr="00C772F8" w:rsidRDefault="00E701B9" w:rsidP="00E701B9">
      <w:pPr>
        <w:spacing w:before="240" w:after="120"/>
        <w:rPr>
          <w:rFonts w:ascii="Times New Roman" w:hAnsi="Times New Roman"/>
          <w:b/>
          <w:i/>
          <w:sz w:val="18"/>
          <w:szCs w:val="24"/>
        </w:rPr>
      </w:pPr>
      <w:r>
        <w:rPr>
          <w:rFonts w:ascii="Times New Roman" w:hAnsi="Times New Roman"/>
          <w:b/>
          <w:i/>
          <w:sz w:val="18"/>
        </w:rPr>
        <w:t>COURSE CONTENT</w:t>
      </w:r>
    </w:p>
    <w:p w14:paraId="1C7B681F" w14:textId="77777777" w:rsidR="00C772F8" w:rsidRPr="001B4227" w:rsidRDefault="00C772F8" w:rsidP="00C772F8">
      <w:pPr>
        <w:spacing w:before="240" w:after="120"/>
        <w:rPr>
          <w:rFonts w:ascii="Times New Roman" w:hAnsi="Times New Roman"/>
          <w:i/>
          <w:sz w:val="18"/>
        </w:rPr>
      </w:pPr>
      <w:r w:rsidRPr="001B4227">
        <w:rPr>
          <w:rFonts w:ascii="Times New Roman" w:hAnsi="Times New Roman"/>
          <w:i/>
          <w:sz w:val="18"/>
        </w:rPr>
        <w:t xml:space="preserve">Truth and freedom in Anselm of Canterbury. </w:t>
      </w:r>
      <w:r w:rsidRPr="001B4227">
        <w:rPr>
          <w:rFonts w:ascii="Times New Roman" w:hAnsi="Times New Roman"/>
          <w:sz w:val="18"/>
        </w:rPr>
        <w:t>After having contextualised the discussions in the medieval period on the nature and the limits of free will, as well as the ambiguities arising from the synthesis between the concept of kerygma in the New Testament and Greek philosophy, the course aims to offer an introduction to the figure and the works of Anselm of Canterbury, with a focus on the relationship between truth and freedom, as it is explained in the treatises: De libertate arbitrii (where the use of the paronym foreshadows a discussion over the essence of truth) and De casu diaboli.</w:t>
      </w:r>
    </w:p>
    <w:p w14:paraId="7807D270" w14:textId="77777777" w:rsidR="00E701B9" w:rsidRPr="00E701B9" w:rsidRDefault="00E701B9" w:rsidP="00E701B9">
      <w:pPr>
        <w:spacing w:before="240" w:after="120"/>
        <w:rPr>
          <w:rFonts w:ascii="Times New Roman" w:hAnsi="Times New Roman"/>
          <w:b/>
          <w:i/>
          <w:sz w:val="18"/>
          <w:szCs w:val="24"/>
        </w:rPr>
      </w:pPr>
      <w:r w:rsidRPr="001B4227">
        <w:rPr>
          <w:rFonts w:ascii="Times New Roman" w:hAnsi="Times New Roman"/>
          <w:b/>
          <w:i/>
          <w:sz w:val="18"/>
        </w:rPr>
        <w:t>READING LIST</w:t>
      </w:r>
    </w:p>
    <w:p w14:paraId="5F211489" w14:textId="7D0794F5" w:rsidR="000A5370" w:rsidRPr="001B4227" w:rsidRDefault="000A5370" w:rsidP="00645C38">
      <w:pPr>
        <w:pStyle w:val="Testo1"/>
        <w:spacing w:line="240" w:lineRule="exact"/>
        <w:rPr>
          <w:rFonts w:ascii="Times New Roman" w:hAnsi="Times New Roman"/>
          <w:noProof w:val="0"/>
          <w:szCs w:val="18"/>
        </w:rPr>
      </w:pPr>
      <w:r w:rsidRPr="001B4227">
        <w:rPr>
          <w:rFonts w:ascii="Times New Roman" w:hAnsi="Times New Roman"/>
        </w:rPr>
        <w:t xml:space="preserve">Lecture notes and material provided by the lecturer </w:t>
      </w:r>
      <w:r w:rsidRPr="001B4227">
        <w:t>and uploaded on blackboard.</w:t>
      </w:r>
    </w:p>
    <w:p w14:paraId="6CFBC8FC" w14:textId="77777777" w:rsidR="00C772F8" w:rsidRPr="001B4227" w:rsidRDefault="00C772F8" w:rsidP="00C772F8">
      <w:pPr>
        <w:spacing w:line="276" w:lineRule="auto"/>
        <w:ind w:left="284" w:hanging="284"/>
        <w:rPr>
          <w:rFonts w:ascii="Times New Roman" w:hAnsi="Times New Roman"/>
          <w:smallCaps/>
          <w:noProof/>
          <w:spacing w:val="-5"/>
          <w:sz w:val="18"/>
          <w:szCs w:val="18"/>
          <w:lang w:val="it-IT"/>
        </w:rPr>
      </w:pPr>
      <w:r w:rsidRPr="001B4227">
        <w:rPr>
          <w:rFonts w:ascii="Times New Roman" w:hAnsi="Times New Roman"/>
          <w:smallCaps/>
          <w:sz w:val="16"/>
          <w:lang w:val="it-IT"/>
        </w:rPr>
        <w:t>M. DE CARO, M. MORI, E. SPINELLI</w:t>
      </w:r>
      <w:r w:rsidRPr="001B4227">
        <w:rPr>
          <w:rFonts w:ascii="Times New Roman" w:hAnsi="Times New Roman"/>
          <w:smallCaps/>
          <w:sz w:val="18"/>
          <w:lang w:val="it-IT"/>
        </w:rPr>
        <w:t xml:space="preserve"> </w:t>
      </w:r>
      <w:r w:rsidRPr="001B4227">
        <w:rPr>
          <w:rFonts w:ascii="Times New Roman" w:hAnsi="Times New Roman"/>
          <w:sz w:val="18"/>
          <w:lang w:val="it-IT"/>
        </w:rPr>
        <w:t xml:space="preserve">(edited by), </w:t>
      </w:r>
      <w:r w:rsidRPr="001B4227">
        <w:rPr>
          <w:rFonts w:ascii="Times New Roman" w:hAnsi="Times New Roman"/>
          <w:i/>
          <w:sz w:val="18"/>
          <w:lang w:val="it-IT"/>
        </w:rPr>
        <w:t>Libero arbitrio. Storia di una controversia filosofica</w:t>
      </w:r>
      <w:r w:rsidRPr="001B4227">
        <w:rPr>
          <w:rFonts w:ascii="Times New Roman" w:hAnsi="Times New Roman"/>
          <w:sz w:val="18"/>
          <w:lang w:val="it-IT"/>
        </w:rPr>
        <w:t>, Carocci editore, Città di Castello</w:t>
      </w:r>
      <w:r w:rsidRPr="001B4227">
        <w:rPr>
          <w:rFonts w:ascii="Times New Roman" w:hAnsi="Times New Roman"/>
          <w:smallCaps/>
          <w:sz w:val="18"/>
          <w:lang w:val="it-IT"/>
        </w:rPr>
        <w:t xml:space="preserve"> (PG) 2014, p. 133-221.</w:t>
      </w:r>
    </w:p>
    <w:p w14:paraId="125A5712" w14:textId="77777777" w:rsidR="00C772F8" w:rsidRPr="001B4227" w:rsidRDefault="00C772F8" w:rsidP="00C772F8">
      <w:pPr>
        <w:spacing w:line="276" w:lineRule="auto"/>
        <w:ind w:left="284" w:hanging="284"/>
        <w:rPr>
          <w:rFonts w:ascii="Times New Roman" w:hAnsi="Times New Roman"/>
          <w:smallCaps/>
          <w:noProof/>
          <w:spacing w:val="-5"/>
          <w:sz w:val="18"/>
          <w:szCs w:val="18"/>
          <w:lang w:val="it-IT"/>
        </w:rPr>
      </w:pPr>
      <w:r w:rsidRPr="001B4227">
        <w:rPr>
          <w:rFonts w:ascii="Times New Roman" w:hAnsi="Times New Roman"/>
          <w:smallCaps/>
          <w:sz w:val="18"/>
          <w:lang w:val="it-IT"/>
        </w:rPr>
        <w:t>I</w:t>
      </w:r>
      <w:r w:rsidRPr="001B4227">
        <w:rPr>
          <w:rFonts w:ascii="Times New Roman" w:hAnsi="Times New Roman"/>
          <w:smallCaps/>
          <w:sz w:val="16"/>
          <w:lang w:val="it-IT"/>
        </w:rPr>
        <w:t>. SCIUTO,</w:t>
      </w:r>
      <w:r w:rsidRPr="001B4227">
        <w:rPr>
          <w:rFonts w:ascii="Times New Roman" w:hAnsi="Times New Roman"/>
          <w:smallCaps/>
          <w:sz w:val="18"/>
          <w:lang w:val="it-IT"/>
        </w:rPr>
        <w:t xml:space="preserve"> </w:t>
      </w:r>
      <w:r w:rsidRPr="001B4227">
        <w:rPr>
          <w:rFonts w:ascii="Times New Roman" w:hAnsi="Times New Roman"/>
          <w:i/>
          <w:sz w:val="18"/>
          <w:lang w:val="it-IT"/>
        </w:rPr>
        <w:t>Il libero arbitrio nel pensiero medievale. Da Agostino al XII secolo</w:t>
      </w:r>
      <w:r w:rsidRPr="001B4227">
        <w:rPr>
          <w:rFonts w:ascii="Times New Roman" w:hAnsi="Times New Roman"/>
          <w:sz w:val="18"/>
          <w:lang w:val="it-IT"/>
        </w:rPr>
        <w:t>, in C. VIGNA (edited by)</w:t>
      </w:r>
      <w:r w:rsidRPr="001B4227">
        <w:rPr>
          <w:rFonts w:ascii="Times New Roman" w:hAnsi="Times New Roman"/>
          <w:i/>
          <w:sz w:val="18"/>
          <w:lang w:val="it-IT"/>
        </w:rPr>
        <w:t>, La libertà del bene</w:t>
      </w:r>
      <w:r w:rsidRPr="001B4227">
        <w:rPr>
          <w:rFonts w:ascii="Times New Roman" w:hAnsi="Times New Roman"/>
          <w:sz w:val="18"/>
          <w:lang w:val="it-IT"/>
        </w:rPr>
        <w:t>, ed. Vita e Pensiero, Milan 1988, p.</w:t>
      </w:r>
      <w:r w:rsidRPr="001B4227">
        <w:rPr>
          <w:rFonts w:ascii="Times New Roman" w:hAnsi="Times New Roman"/>
          <w:smallCaps/>
          <w:sz w:val="18"/>
          <w:lang w:val="it-IT"/>
        </w:rPr>
        <w:t xml:space="preserve"> 123-145.</w:t>
      </w:r>
    </w:p>
    <w:p w14:paraId="2ECB1A31" w14:textId="77777777" w:rsidR="00C772F8" w:rsidRPr="001B4227" w:rsidRDefault="00C772F8" w:rsidP="00C772F8">
      <w:pPr>
        <w:spacing w:line="276" w:lineRule="auto"/>
        <w:ind w:left="284" w:hanging="284"/>
        <w:rPr>
          <w:rFonts w:ascii="Times New Roman" w:hAnsi="Times New Roman"/>
          <w:noProof/>
          <w:spacing w:val="-5"/>
          <w:sz w:val="18"/>
          <w:szCs w:val="18"/>
          <w:lang w:val="it-IT"/>
        </w:rPr>
      </w:pPr>
      <w:r w:rsidRPr="001B4227">
        <w:rPr>
          <w:rFonts w:ascii="Times New Roman" w:hAnsi="Times New Roman"/>
          <w:smallCaps/>
          <w:sz w:val="16"/>
          <w:lang w:val="it-IT"/>
        </w:rPr>
        <w:t>ANSELMO D’AOSTA</w:t>
      </w:r>
      <w:r w:rsidRPr="001B4227">
        <w:rPr>
          <w:rFonts w:ascii="Times New Roman" w:hAnsi="Times New Roman"/>
          <w:sz w:val="18"/>
          <w:lang w:val="it-IT"/>
        </w:rPr>
        <w:t xml:space="preserve">, </w:t>
      </w:r>
      <w:r w:rsidRPr="001B4227">
        <w:rPr>
          <w:rFonts w:ascii="Times New Roman" w:hAnsi="Times New Roman"/>
          <w:i/>
          <w:sz w:val="18"/>
          <w:lang w:val="it-IT"/>
        </w:rPr>
        <w:t>Opere filosofiche</w:t>
      </w:r>
      <w:r w:rsidRPr="001B4227">
        <w:rPr>
          <w:rFonts w:ascii="Times New Roman" w:hAnsi="Times New Roman"/>
          <w:sz w:val="18"/>
          <w:lang w:val="it-IT"/>
        </w:rPr>
        <w:t>, Biblioteca filosofica Laterza, Bari 2008, p. 133-219.</w:t>
      </w:r>
    </w:p>
    <w:p w14:paraId="40B89CAC" w14:textId="77777777" w:rsidR="00C772F8" w:rsidRPr="001B4227" w:rsidRDefault="00C772F8" w:rsidP="00C772F8">
      <w:pPr>
        <w:spacing w:line="276" w:lineRule="auto"/>
        <w:ind w:left="284" w:hanging="284"/>
        <w:rPr>
          <w:rFonts w:ascii="Times New Roman" w:hAnsi="Times New Roman"/>
          <w:noProof/>
          <w:spacing w:val="-5"/>
          <w:sz w:val="18"/>
          <w:szCs w:val="18"/>
          <w:lang w:val="it-IT"/>
        </w:rPr>
      </w:pPr>
    </w:p>
    <w:p w14:paraId="42C2ADE6" w14:textId="77777777" w:rsidR="00C772F8" w:rsidRPr="001B4227" w:rsidRDefault="00C772F8" w:rsidP="00C772F8">
      <w:pPr>
        <w:spacing w:line="276" w:lineRule="auto"/>
        <w:ind w:left="284" w:hanging="284"/>
        <w:rPr>
          <w:rFonts w:ascii="Times New Roman" w:hAnsi="Times New Roman"/>
          <w:noProof/>
          <w:spacing w:val="-5"/>
          <w:sz w:val="18"/>
          <w:szCs w:val="18"/>
        </w:rPr>
      </w:pPr>
      <w:r w:rsidRPr="001B4227">
        <w:rPr>
          <w:rFonts w:ascii="Times New Roman" w:hAnsi="Times New Roman"/>
          <w:sz w:val="18"/>
        </w:rPr>
        <w:t>Non-attendees will choose one of the following studies:</w:t>
      </w:r>
    </w:p>
    <w:p w14:paraId="3364A4CF" w14:textId="56457C69" w:rsidR="00C772F8" w:rsidRPr="00725D86" w:rsidRDefault="00C772F8" w:rsidP="00C772F8">
      <w:pPr>
        <w:spacing w:line="276" w:lineRule="auto"/>
        <w:ind w:left="284" w:hanging="284"/>
        <w:rPr>
          <w:rFonts w:ascii="Times New Roman" w:hAnsi="Times New Roman"/>
          <w:noProof/>
          <w:spacing w:val="-5"/>
          <w:sz w:val="18"/>
          <w:szCs w:val="18"/>
          <w:lang w:val="it-IT"/>
        </w:rPr>
      </w:pPr>
      <w:r w:rsidRPr="001B4227">
        <w:rPr>
          <w:rFonts w:ascii="Times New Roman" w:hAnsi="Times New Roman"/>
          <w:smallCaps/>
          <w:sz w:val="16"/>
          <w:lang w:val="it-IT"/>
        </w:rPr>
        <w:t>S. VANNI ROVIGHI,</w:t>
      </w:r>
      <w:r w:rsidRPr="001B4227">
        <w:rPr>
          <w:rFonts w:ascii="Times New Roman" w:hAnsi="Times New Roman"/>
          <w:sz w:val="18"/>
          <w:lang w:val="it-IT"/>
        </w:rPr>
        <w:t xml:space="preserve"> </w:t>
      </w:r>
      <w:r w:rsidRPr="001B4227">
        <w:rPr>
          <w:rFonts w:ascii="Times New Roman" w:hAnsi="Times New Roman"/>
          <w:i/>
          <w:sz w:val="18"/>
          <w:lang w:val="it-IT"/>
        </w:rPr>
        <w:t>Introduzione ad Anselmo</w:t>
      </w:r>
      <w:r w:rsidRPr="001B4227">
        <w:rPr>
          <w:rFonts w:ascii="Times New Roman" w:hAnsi="Times New Roman"/>
          <w:sz w:val="18"/>
          <w:lang w:val="it-IT"/>
        </w:rPr>
        <w:t>, ed. Laterza, Rome Bari 1969</w:t>
      </w:r>
    </w:p>
    <w:p w14:paraId="37136AF2" w14:textId="77777777" w:rsidR="00C772F8" w:rsidRPr="001B4227" w:rsidRDefault="00C772F8" w:rsidP="00C772F8">
      <w:pPr>
        <w:spacing w:line="276" w:lineRule="auto"/>
        <w:ind w:left="284" w:hanging="284"/>
        <w:rPr>
          <w:rFonts w:ascii="Times New Roman" w:hAnsi="Times New Roman"/>
          <w:noProof/>
          <w:spacing w:val="-5"/>
          <w:sz w:val="18"/>
          <w:szCs w:val="18"/>
          <w:lang w:val="it-IT"/>
        </w:rPr>
      </w:pPr>
      <w:r w:rsidRPr="001B4227">
        <w:rPr>
          <w:rFonts w:ascii="Times New Roman" w:hAnsi="Times New Roman"/>
          <w:smallCaps/>
          <w:sz w:val="16"/>
          <w:lang w:val="it-IT"/>
        </w:rPr>
        <w:t>C. E. VIOLA,</w:t>
      </w:r>
      <w:r w:rsidRPr="001B4227">
        <w:rPr>
          <w:rFonts w:ascii="Times New Roman" w:hAnsi="Times New Roman"/>
          <w:sz w:val="18"/>
          <w:lang w:val="it-IT"/>
        </w:rPr>
        <w:t xml:space="preserve"> </w:t>
      </w:r>
      <w:r w:rsidRPr="001B4227">
        <w:rPr>
          <w:rFonts w:ascii="Times New Roman" w:hAnsi="Times New Roman"/>
          <w:i/>
          <w:sz w:val="18"/>
          <w:lang w:val="it-IT"/>
        </w:rPr>
        <w:t>Anselmo D'Aosta: fede e ricerca dell'intelligenza</w:t>
      </w:r>
      <w:r w:rsidRPr="001B4227">
        <w:rPr>
          <w:rFonts w:ascii="Times New Roman" w:hAnsi="Times New Roman"/>
          <w:sz w:val="18"/>
          <w:lang w:val="it-IT"/>
        </w:rPr>
        <w:t>, Italian translation by A. Tombolini, Jaca Book, Milan 2000.</w:t>
      </w:r>
    </w:p>
    <w:p w14:paraId="7EFAA645" w14:textId="77777777" w:rsidR="00C772F8" w:rsidRPr="001B4227" w:rsidRDefault="00C772F8" w:rsidP="00C772F8">
      <w:pPr>
        <w:spacing w:line="276" w:lineRule="auto"/>
        <w:ind w:left="284" w:hanging="284"/>
        <w:rPr>
          <w:rFonts w:ascii="Times New Roman" w:hAnsi="Times New Roman"/>
          <w:noProof/>
          <w:spacing w:val="-5"/>
          <w:sz w:val="18"/>
          <w:szCs w:val="18"/>
        </w:rPr>
      </w:pPr>
      <w:r w:rsidRPr="001B4227">
        <w:rPr>
          <w:rFonts w:ascii="Times New Roman" w:hAnsi="Times New Roman"/>
          <w:smallCaps/>
          <w:sz w:val="16"/>
        </w:rPr>
        <w:t>T. WILLIAMS,</w:t>
      </w:r>
      <w:r w:rsidRPr="001B4227">
        <w:rPr>
          <w:rFonts w:ascii="Times New Roman" w:hAnsi="Times New Roman"/>
          <w:sz w:val="18"/>
        </w:rPr>
        <w:t xml:space="preserve"> </w:t>
      </w:r>
      <w:r w:rsidRPr="001B4227">
        <w:rPr>
          <w:rFonts w:ascii="Times New Roman" w:hAnsi="Times New Roman"/>
          <w:i/>
          <w:sz w:val="18"/>
        </w:rPr>
        <w:t>Saint Anselm</w:t>
      </w:r>
      <w:r w:rsidRPr="001B4227">
        <w:rPr>
          <w:rFonts w:ascii="Times New Roman" w:hAnsi="Times New Roman"/>
          <w:sz w:val="18"/>
        </w:rPr>
        <w:t xml:space="preserve"> , </w:t>
      </w:r>
      <w:hyperlink r:id="rId6" w:history="1">
        <w:r w:rsidRPr="001B4227">
          <w:rPr>
            <w:rStyle w:val="Collegamentoipertestuale"/>
            <w:rFonts w:ascii="Times New Roman" w:hAnsi="Times New Roman"/>
            <w:sz w:val="18"/>
          </w:rPr>
          <w:t>https://plato.stanford.edu/entries/anselm/</w:t>
        </w:r>
      </w:hyperlink>
    </w:p>
    <w:p w14:paraId="01560869" w14:textId="77777777" w:rsidR="00E701B9" w:rsidRPr="00E701B9" w:rsidRDefault="00E701B9" w:rsidP="00E701B9">
      <w:pPr>
        <w:spacing w:before="240" w:after="120" w:line="220" w:lineRule="exact"/>
        <w:rPr>
          <w:rFonts w:ascii="Times New Roman" w:hAnsi="Times New Roman"/>
          <w:b/>
          <w:i/>
          <w:sz w:val="18"/>
          <w:szCs w:val="24"/>
        </w:rPr>
      </w:pPr>
      <w:r w:rsidRPr="001B4227">
        <w:rPr>
          <w:rFonts w:ascii="Times New Roman" w:hAnsi="Times New Roman"/>
          <w:b/>
          <w:i/>
          <w:sz w:val="18"/>
        </w:rPr>
        <w:lastRenderedPageBreak/>
        <w:t>TEACHING METHOD</w:t>
      </w:r>
    </w:p>
    <w:p w14:paraId="5C8D493C" w14:textId="11A115C4" w:rsidR="000A5370" w:rsidRDefault="000A5370" w:rsidP="00645C38">
      <w:pPr>
        <w:pStyle w:val="Testo2"/>
        <w:spacing w:line="240" w:lineRule="exact"/>
        <w:rPr>
          <w:noProof w:val="0"/>
        </w:rPr>
      </w:pPr>
      <w:r>
        <w:t>The course will be delivered primarily in the form of frontal lectures. The lecturer will guide students in reading and commentating direct and indirect sources</w:t>
      </w:r>
      <w:r>
        <w:rPr>
          <w:rFonts w:ascii="Times New Roman" w:hAnsi="Times New Roman"/>
        </w:rPr>
        <w:t xml:space="preserve">. </w:t>
      </w:r>
      <w:r>
        <w:t>The lecturer will use IT resources (concept maps in Word or PowerPoint, the Blackboard</w:t>
      </w:r>
      <w:r>
        <w:rPr>
          <w:i/>
        </w:rPr>
        <w:t xml:space="preserve"> </w:t>
      </w:r>
      <w:r>
        <w:t>portal) There will be a particular focus on the texts of medieval authors, presented in Italian translation.</w:t>
      </w:r>
    </w:p>
    <w:p w14:paraId="333F5944" w14:textId="77777777" w:rsidR="00E701B9" w:rsidRPr="00E701B9" w:rsidRDefault="00E701B9" w:rsidP="00E701B9">
      <w:pPr>
        <w:spacing w:before="240" w:after="120" w:line="220" w:lineRule="exact"/>
        <w:rPr>
          <w:rFonts w:ascii="Times New Roman" w:hAnsi="Times New Roman"/>
          <w:b/>
          <w:i/>
          <w:sz w:val="18"/>
          <w:szCs w:val="24"/>
        </w:rPr>
      </w:pPr>
      <w:r>
        <w:rPr>
          <w:rFonts w:ascii="Times New Roman" w:hAnsi="Times New Roman"/>
          <w:b/>
          <w:i/>
          <w:sz w:val="18"/>
        </w:rPr>
        <w:t>ASSESSMENT METHOD AND CRITERIA</w:t>
      </w:r>
    </w:p>
    <w:p w14:paraId="20505C2C" w14:textId="15C57826" w:rsidR="00625DEE" w:rsidRDefault="00224EF3" w:rsidP="00392C3E">
      <w:pPr>
        <w:ind w:firstLine="284"/>
        <w:rPr>
          <w:sz w:val="18"/>
          <w:szCs w:val="18"/>
        </w:rPr>
      </w:pPr>
      <w:r>
        <w:rPr>
          <w:rFonts w:ascii="Times New Roman" w:hAnsi="Times New Roman"/>
          <w:sz w:val="18"/>
          <w:shd w:val="clear" w:color="auto" w:fill="FFFFFF"/>
        </w:rPr>
        <w:t>The intended learning outcomes will be assessed by means of an oral exam</w:t>
      </w:r>
      <w:r>
        <w:rPr>
          <w:rFonts w:ascii="Verdana" w:hAnsi="Verdana"/>
          <w:sz w:val="18"/>
          <w:shd w:val="clear" w:color="auto" w:fill="FFFFFF"/>
        </w:rPr>
        <w:t xml:space="preserve"> </w:t>
      </w:r>
      <w:r>
        <w:rPr>
          <w:sz w:val="18"/>
        </w:rPr>
        <w:t xml:space="preserve">on the contents of the course on medieval philosophical traditions related to </w:t>
      </w:r>
      <w:r>
        <w:rPr>
          <w:i/>
        </w:rPr>
        <w:t xml:space="preserve"> </w:t>
      </w:r>
      <w:r>
        <w:t>Augustine</w:t>
      </w:r>
      <w:r>
        <w:rPr>
          <w:i/>
        </w:rPr>
        <w:t xml:space="preserve">. </w:t>
      </w:r>
      <w:r>
        <w:rPr>
          <w:sz w:val="18"/>
        </w:rPr>
        <w:t xml:space="preserve">The exam will assess students’: methods and critical thinking skills; </w:t>
      </w:r>
      <w:r>
        <w:rPr>
          <w:rFonts w:ascii="Times New Roman" w:hAnsi="Times New Roman"/>
          <w:sz w:val="18"/>
          <w:shd w:val="clear" w:color="auto" w:fill="FFFFFF"/>
        </w:rPr>
        <w:t>ability to express themselves dialectically with accuracy and confidence by organising structured argumentation; and their use of specific philosophical vocabulary, both in terms of accuracy and understanding, and ability to demonstrate and apply the various concepts clearly and effectively.</w:t>
      </w:r>
      <w:r>
        <w:rPr>
          <w:rFonts w:ascii="Times New Roman" w:hAnsi="Times New Roman"/>
          <w:sz w:val="18"/>
        </w:rPr>
        <w:br/>
      </w:r>
      <w:r>
        <w:rPr>
          <w:sz w:val="18"/>
        </w:rPr>
        <w:t>Students who demonstrate historical and philosophical knowledge of the themes on the syllabus alongside independent thinking regarding the critical use of bibliographic tools and secondary literature and strong communication skills - both spoken and written - will achieve the highest marks. Students whose knowledge is primarily memorised and who demonstrate poor summarising and analytical skills will be awarded low pass marks. Students who have gaps in their knowledge and who use inappropriate language will not pass the exam. </w:t>
      </w:r>
    </w:p>
    <w:p w14:paraId="45ECCEFD" w14:textId="77777777" w:rsidR="00E701B9" w:rsidRPr="0027577C" w:rsidRDefault="00E701B9" w:rsidP="00E701B9">
      <w:pPr>
        <w:spacing w:before="240" w:after="120"/>
        <w:rPr>
          <w:rFonts w:ascii="Times New Roman" w:hAnsi="Times New Roman"/>
          <w:b/>
          <w:i/>
          <w:sz w:val="18"/>
          <w:szCs w:val="24"/>
        </w:rPr>
      </w:pPr>
      <w:r>
        <w:rPr>
          <w:rFonts w:ascii="Times New Roman" w:hAnsi="Times New Roman"/>
          <w:b/>
          <w:i/>
          <w:sz w:val="18"/>
        </w:rPr>
        <w:t>NOTES AND PREREQUISITES</w:t>
      </w:r>
    </w:p>
    <w:p w14:paraId="28CD92EF" w14:textId="77777777" w:rsidR="00637EB0" w:rsidRDefault="00637EB0" w:rsidP="000A5370">
      <w:pPr>
        <w:pStyle w:val="Testo2"/>
        <w:rPr>
          <w:noProof w:val="0"/>
        </w:rPr>
      </w:pPr>
      <w:r>
        <w:t>Students require basic knowledge of the history of ancient philosophy.</w:t>
      </w:r>
    </w:p>
    <w:p w14:paraId="4F6EBA0C" w14:textId="77777777" w:rsidR="00822F94" w:rsidRPr="005A08C3" w:rsidRDefault="00822F94" w:rsidP="00392C3E">
      <w:pPr>
        <w:pStyle w:val="Testo2"/>
        <w:ind w:firstLine="0"/>
        <w:rPr>
          <w:rFonts w:ascii="Times New Roman" w:hAnsi="Times New Roman"/>
        </w:rPr>
      </w:pPr>
    </w:p>
    <w:p w14:paraId="65E445AF" w14:textId="77777777" w:rsidR="002B6CC7" w:rsidRPr="00DD2139" w:rsidRDefault="00822F94" w:rsidP="00822F94">
      <w:pPr>
        <w:pStyle w:val="Testo2"/>
        <w:rPr>
          <w:noProof w:val="0"/>
        </w:rPr>
      </w:pPr>
      <w:r>
        <w:rPr>
          <w:rFonts w:ascii="Times New Roman" w:hAnsi="Times New Roman"/>
        </w:rPr>
        <w:t>Further information can be found on the lecturer's webpage at http://docenti.unicatt.it/web/searchByName.do?language=ENG or on the Faculty notice board</w:t>
      </w:r>
      <w:r>
        <w:t>.</w:t>
      </w:r>
    </w:p>
    <w:sectPr w:rsidR="002B6CC7" w:rsidRPr="00DD21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118E" w14:textId="77777777" w:rsidR="00E4119C" w:rsidRDefault="00E4119C" w:rsidP="00822F94">
      <w:pPr>
        <w:spacing w:line="240" w:lineRule="auto"/>
      </w:pPr>
      <w:r>
        <w:separator/>
      </w:r>
    </w:p>
  </w:endnote>
  <w:endnote w:type="continuationSeparator" w:id="0">
    <w:p w14:paraId="0E7C7702" w14:textId="77777777" w:rsidR="00E4119C" w:rsidRDefault="00E4119C" w:rsidP="00822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7FB2" w14:textId="77777777" w:rsidR="00E4119C" w:rsidRDefault="00E4119C" w:rsidP="00822F94">
      <w:pPr>
        <w:spacing w:line="240" w:lineRule="auto"/>
      </w:pPr>
      <w:r>
        <w:separator/>
      </w:r>
    </w:p>
  </w:footnote>
  <w:footnote w:type="continuationSeparator" w:id="0">
    <w:p w14:paraId="3C16CDEC" w14:textId="77777777" w:rsidR="00E4119C" w:rsidRDefault="00E4119C" w:rsidP="00822F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D"/>
    <w:rsid w:val="00006923"/>
    <w:rsid w:val="0004260E"/>
    <w:rsid w:val="000710F0"/>
    <w:rsid w:val="00090798"/>
    <w:rsid w:val="000A5370"/>
    <w:rsid w:val="000B22D8"/>
    <w:rsid w:val="000E3D29"/>
    <w:rsid w:val="000F116B"/>
    <w:rsid w:val="001B4227"/>
    <w:rsid w:val="0020612B"/>
    <w:rsid w:val="00220DD2"/>
    <w:rsid w:val="00224EF3"/>
    <w:rsid w:val="002438E5"/>
    <w:rsid w:val="0027577C"/>
    <w:rsid w:val="002B6CC7"/>
    <w:rsid w:val="002D54C9"/>
    <w:rsid w:val="002F17D0"/>
    <w:rsid w:val="00316435"/>
    <w:rsid w:val="003338AE"/>
    <w:rsid w:val="003438A9"/>
    <w:rsid w:val="00364E25"/>
    <w:rsid w:val="003860DD"/>
    <w:rsid w:val="00392C3E"/>
    <w:rsid w:val="003940F3"/>
    <w:rsid w:val="003A56F5"/>
    <w:rsid w:val="003E415B"/>
    <w:rsid w:val="0040103D"/>
    <w:rsid w:val="00422538"/>
    <w:rsid w:val="004525C8"/>
    <w:rsid w:val="004D1217"/>
    <w:rsid w:val="004D6008"/>
    <w:rsid w:val="004D7905"/>
    <w:rsid w:val="004E7A20"/>
    <w:rsid w:val="004F5105"/>
    <w:rsid w:val="00575D8E"/>
    <w:rsid w:val="00587A8E"/>
    <w:rsid w:val="005A1EF3"/>
    <w:rsid w:val="005F12F7"/>
    <w:rsid w:val="005F2030"/>
    <w:rsid w:val="00614E36"/>
    <w:rsid w:val="00623266"/>
    <w:rsid w:val="00625DEE"/>
    <w:rsid w:val="00632A62"/>
    <w:rsid w:val="00637EB0"/>
    <w:rsid w:val="00645C38"/>
    <w:rsid w:val="006472F4"/>
    <w:rsid w:val="00654807"/>
    <w:rsid w:val="00672A39"/>
    <w:rsid w:val="00695C0A"/>
    <w:rsid w:val="006C1777"/>
    <w:rsid w:val="006C22C1"/>
    <w:rsid w:val="006C4459"/>
    <w:rsid w:val="006D0E66"/>
    <w:rsid w:val="006F1772"/>
    <w:rsid w:val="00725D86"/>
    <w:rsid w:val="007308CF"/>
    <w:rsid w:val="0076627E"/>
    <w:rsid w:val="007D7553"/>
    <w:rsid w:val="007E0C0F"/>
    <w:rsid w:val="00822F94"/>
    <w:rsid w:val="008525FD"/>
    <w:rsid w:val="008773EE"/>
    <w:rsid w:val="00887E26"/>
    <w:rsid w:val="008C32F7"/>
    <w:rsid w:val="008C45B7"/>
    <w:rsid w:val="008C7E2E"/>
    <w:rsid w:val="008E31FF"/>
    <w:rsid w:val="008F5293"/>
    <w:rsid w:val="00940DA2"/>
    <w:rsid w:val="00944C28"/>
    <w:rsid w:val="00957A7F"/>
    <w:rsid w:val="00A468B0"/>
    <w:rsid w:val="00A964E4"/>
    <w:rsid w:val="00AD016F"/>
    <w:rsid w:val="00AF1E8E"/>
    <w:rsid w:val="00B1383F"/>
    <w:rsid w:val="00B35EFD"/>
    <w:rsid w:val="00B66672"/>
    <w:rsid w:val="00B82BDF"/>
    <w:rsid w:val="00BA3AE7"/>
    <w:rsid w:val="00C04382"/>
    <w:rsid w:val="00C42ADB"/>
    <w:rsid w:val="00C7635E"/>
    <w:rsid w:val="00C772F8"/>
    <w:rsid w:val="00C846FD"/>
    <w:rsid w:val="00C95AFF"/>
    <w:rsid w:val="00D4499E"/>
    <w:rsid w:val="00D978C1"/>
    <w:rsid w:val="00DC565A"/>
    <w:rsid w:val="00DD02E5"/>
    <w:rsid w:val="00DD2139"/>
    <w:rsid w:val="00DF36CE"/>
    <w:rsid w:val="00E30A06"/>
    <w:rsid w:val="00E32E05"/>
    <w:rsid w:val="00E4119C"/>
    <w:rsid w:val="00E45739"/>
    <w:rsid w:val="00E701B9"/>
    <w:rsid w:val="00E76019"/>
    <w:rsid w:val="00E94709"/>
    <w:rsid w:val="00EA1615"/>
    <w:rsid w:val="00ED6BA4"/>
    <w:rsid w:val="00F0796E"/>
    <w:rsid w:val="00F87727"/>
    <w:rsid w:val="00F90929"/>
    <w:rsid w:val="00F94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E1210"/>
  <w15:docId w15:val="{B5A34CD1-BC84-4877-BF31-6690602B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5F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4E7A20"/>
    <w:pPr>
      <w:spacing w:line="240" w:lineRule="exact"/>
      <w:outlineLvl w:val="1"/>
    </w:pPr>
    <w:rPr>
      <w:rFonts w:ascii="Times" w:hAnsi="Times"/>
      <w:smallCaps/>
      <w:noProof/>
      <w:sz w:val="18"/>
    </w:rPr>
  </w:style>
  <w:style w:type="paragraph" w:styleId="Titolo3">
    <w:name w:val="heading 3"/>
    <w:next w:val="Normale"/>
    <w:qFormat/>
    <w:rsid w:val="004E7A2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D2139"/>
    <w:rPr>
      <w:b/>
      <w:bCs/>
    </w:rPr>
  </w:style>
  <w:style w:type="paragraph" w:customStyle="1" w:styleId="Testo1">
    <w:name w:val="Testo 1"/>
    <w:link w:val="Testo1Carattere"/>
    <w:rsid w:val="004E7A20"/>
    <w:pPr>
      <w:spacing w:line="220" w:lineRule="exact"/>
      <w:ind w:left="284" w:hanging="284"/>
      <w:jc w:val="both"/>
    </w:pPr>
    <w:rPr>
      <w:rFonts w:ascii="Times" w:hAnsi="Times"/>
      <w:noProof/>
      <w:sz w:val="18"/>
    </w:rPr>
  </w:style>
  <w:style w:type="paragraph" w:customStyle="1" w:styleId="Testo2">
    <w:name w:val="Testo 2"/>
    <w:rsid w:val="004E7A20"/>
    <w:pPr>
      <w:spacing w:line="220" w:lineRule="exact"/>
      <w:ind w:firstLine="284"/>
      <w:jc w:val="both"/>
    </w:pPr>
    <w:rPr>
      <w:rFonts w:ascii="Times" w:hAnsi="Times"/>
      <w:noProof/>
      <w:sz w:val="18"/>
    </w:rPr>
  </w:style>
  <w:style w:type="character" w:customStyle="1" w:styleId="Testo1Carattere">
    <w:name w:val="Testo 1 Carattere"/>
    <w:basedOn w:val="Carpredefinitoparagrafo"/>
    <w:link w:val="Testo1"/>
    <w:rsid w:val="000A5370"/>
    <w:rPr>
      <w:rFonts w:ascii="Times" w:hAnsi="Times"/>
      <w:noProof/>
      <w:sz w:val="18"/>
    </w:rPr>
  </w:style>
  <w:style w:type="character" w:styleId="Collegamentoipertestuale">
    <w:name w:val="Hyperlink"/>
    <w:basedOn w:val="Carpredefinitoparagrafo"/>
    <w:uiPriority w:val="99"/>
    <w:unhideWhenUsed/>
    <w:rsid w:val="007E0C0F"/>
    <w:rPr>
      <w:color w:val="0000FF" w:themeColor="hyperlink"/>
      <w:u w:val="single"/>
    </w:rPr>
  </w:style>
  <w:style w:type="paragraph" w:styleId="Testofumetto">
    <w:name w:val="Balloon Text"/>
    <w:basedOn w:val="Normale"/>
    <w:link w:val="TestofumettoCarattere"/>
    <w:semiHidden/>
    <w:unhideWhenUsed/>
    <w:rsid w:val="00645C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5C38"/>
    <w:rPr>
      <w:rFonts w:ascii="Segoe UI" w:hAnsi="Segoe UI" w:cs="Segoe UI"/>
      <w:sz w:val="18"/>
      <w:szCs w:val="18"/>
    </w:rPr>
  </w:style>
  <w:style w:type="character" w:styleId="Enfasicorsivo">
    <w:name w:val="Emphasis"/>
    <w:basedOn w:val="Carpredefinitoparagrafo"/>
    <w:uiPriority w:val="20"/>
    <w:qFormat/>
    <w:rsid w:val="00645C38"/>
    <w:rPr>
      <w:i/>
      <w:iCs/>
    </w:rPr>
  </w:style>
  <w:style w:type="paragraph" w:styleId="Intestazione">
    <w:name w:val="header"/>
    <w:basedOn w:val="Normale"/>
    <w:link w:val="IntestazioneCarattere"/>
    <w:unhideWhenUsed/>
    <w:rsid w:val="00822F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22F94"/>
    <w:rPr>
      <w:rFonts w:ascii="Times" w:hAnsi="Times"/>
    </w:rPr>
  </w:style>
  <w:style w:type="paragraph" w:styleId="Pidipagina">
    <w:name w:val="footer"/>
    <w:basedOn w:val="Normale"/>
    <w:link w:val="PidipaginaCarattere"/>
    <w:unhideWhenUsed/>
    <w:rsid w:val="00822F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22F94"/>
    <w:rPr>
      <w:rFonts w:ascii="Times" w:hAnsi="Times"/>
    </w:rPr>
  </w:style>
  <w:style w:type="character" w:customStyle="1" w:styleId="Menzionenonrisolta1">
    <w:name w:val="Menzione non risolta1"/>
    <w:basedOn w:val="Carpredefinitoparagrafo"/>
    <w:uiPriority w:val="99"/>
    <w:semiHidden/>
    <w:unhideWhenUsed/>
    <w:rsid w:val="00C7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entries/ansel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604</Words>
  <Characters>3492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Zucca Celina</cp:lastModifiedBy>
  <cp:revision>7</cp:revision>
  <cp:lastPrinted>2003-03-27T09:42:00Z</cp:lastPrinted>
  <dcterms:created xsi:type="dcterms:W3CDTF">2023-01-12T07:53:00Z</dcterms:created>
  <dcterms:modified xsi:type="dcterms:W3CDTF">2024-03-25T13:52:00Z</dcterms:modified>
</cp:coreProperties>
</file>