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AEF1" w14:textId="587ACF93" w:rsidR="00D84AD4" w:rsidRPr="00E660C1" w:rsidRDefault="00346DFD" w:rsidP="00410579">
      <w:pPr>
        <w:pStyle w:val="Titolo2"/>
        <w:rPr>
          <w:b/>
          <w:bCs/>
          <w:smallCaps w:val="0"/>
          <w:noProof w:val="0"/>
          <w:sz w:val="20"/>
        </w:rPr>
      </w:pPr>
      <w:r>
        <w:rPr>
          <w:b/>
          <w:smallCaps w:val="0"/>
          <w:sz w:val="20"/>
        </w:rPr>
        <w:t xml:space="preserve">Community Tourism Law, Funding and Certifications </w:t>
      </w:r>
    </w:p>
    <w:p w14:paraId="2FB06CF4" w14:textId="279355E1" w:rsidR="00410579" w:rsidRDefault="00410579" w:rsidP="00410579">
      <w:pPr>
        <w:pStyle w:val="Titolo2"/>
      </w:pPr>
      <w:r>
        <w:t>Prof. Antonino Menne</w:t>
      </w:r>
    </w:p>
    <w:p w14:paraId="728CCCEA" w14:textId="4350AE1D" w:rsidR="006A2EF6" w:rsidRPr="00E660C1" w:rsidRDefault="006A2EF6" w:rsidP="006A2EF6">
      <w:pPr>
        <w:pBdr>
          <w:top w:val="nil"/>
          <w:left w:val="nil"/>
          <w:bottom w:val="nil"/>
          <w:right w:val="nil"/>
          <w:between w:val="nil"/>
          <w:bar w:val="nil"/>
        </w:pBdr>
        <w:tabs>
          <w:tab w:val="clear" w:pos="284"/>
        </w:tabs>
        <w:spacing w:before="240" w:after="120" w:line="240" w:lineRule="auto"/>
        <w:jc w:val="left"/>
        <w:rPr>
          <w:rFonts w:ascii="Times New Roman" w:eastAsia="Arial Unicode MS" w:hAnsi="Times New Roman"/>
          <w:b/>
          <w:i/>
          <w:sz w:val="18"/>
          <w:szCs w:val="18"/>
          <w:bdr w:val="nil"/>
        </w:rPr>
      </w:pPr>
      <w:r>
        <w:rPr>
          <w:rFonts w:ascii="Times New Roman" w:hAnsi="Times New Roman"/>
          <w:b/>
          <w:i/>
          <w:sz w:val="18"/>
          <w:bdr w:val="nil"/>
        </w:rPr>
        <w:t xml:space="preserve">COURSE AIMS AND INTENDED LEARNING OUTCOMES </w:t>
      </w:r>
    </w:p>
    <w:p w14:paraId="51063311" w14:textId="2426C606" w:rsidR="00410579" w:rsidRPr="00E660C1" w:rsidRDefault="000869B8" w:rsidP="00410579">
      <w:r>
        <w:rPr>
          <w:b/>
        </w:rPr>
        <w:t>Knowledge and understanding.</w:t>
      </w:r>
      <w:r>
        <w:t xml:space="preserve"> The aim of the course is to provide students with an understanding of the main sources and European regulatory instruments in the field of tourism and sustainable development and their transposition into the national legal system, as well as an overview of European programming for funding the tourism sector.</w:t>
      </w:r>
    </w:p>
    <w:p w14:paraId="7887D606" w14:textId="227BEE1B" w:rsidR="00303888" w:rsidRPr="00E660C1" w:rsidRDefault="00303888" w:rsidP="00410579">
      <w:r>
        <w:rPr>
          <w:b/>
        </w:rPr>
        <w:t>Ability to apply knowledge and understanding.</w:t>
      </w:r>
      <w:r>
        <w:t xml:space="preserve"> By the end of the course, students will be able to identify the relevant legislation, relationships between different sources (European, national and regional) and their effectiveness in terms of autonomously managing the legal instruments for supporting local action that promotes, enhances, designs and safeguards both the whole tourism sector and sustainable development. Students will also be able to understand the programming documents for the tourism sector and develop a project idea to access European funding.  </w:t>
      </w:r>
    </w:p>
    <w:p w14:paraId="31FA87D1" w14:textId="77777777" w:rsidR="006A2EF6" w:rsidRPr="00E660C1" w:rsidRDefault="006A2EF6" w:rsidP="006A2EF6">
      <w:pPr>
        <w:pBdr>
          <w:top w:val="nil"/>
          <w:left w:val="nil"/>
          <w:bottom w:val="nil"/>
          <w:right w:val="nil"/>
          <w:between w:val="nil"/>
          <w:bar w:val="nil"/>
        </w:pBdr>
        <w:spacing w:before="240" w:after="120"/>
        <w:rPr>
          <w:rFonts w:ascii="Times New Roman" w:eastAsia="Arial Unicode MS" w:hAnsi="Times New Roman"/>
          <w:b/>
          <w:bCs/>
          <w:color w:val="000000"/>
          <w:sz w:val="18"/>
          <w:szCs w:val="18"/>
          <w:u w:color="000000"/>
          <w:bdr w:val="nil"/>
        </w:rPr>
      </w:pPr>
      <w:r>
        <w:rPr>
          <w:rFonts w:ascii="Times New Roman" w:hAnsi="Times New Roman"/>
          <w:b/>
          <w:i/>
          <w:color w:val="000000"/>
          <w:sz w:val="18"/>
          <w:u w:color="000000"/>
          <w:bdr w:val="nil"/>
        </w:rPr>
        <w:t>COURSE CONTENT</w:t>
      </w:r>
    </w:p>
    <w:p w14:paraId="168F02BA" w14:textId="186DB825" w:rsidR="00410579" w:rsidRPr="00E660C1" w:rsidRDefault="00410579" w:rsidP="00410579">
      <w:r>
        <w:t>This 30-hour course will cover the following:</w:t>
      </w:r>
    </w:p>
    <w:p w14:paraId="076867F3" w14:textId="60C2A3E9" w:rsidR="00410579" w:rsidRPr="00E660C1" w:rsidRDefault="00410579" w:rsidP="00410579">
      <w:r>
        <w:t xml:space="preserve">General part  </w:t>
      </w:r>
    </w:p>
    <w:p w14:paraId="6CBD9262" w14:textId="4021EB51" w:rsidR="00D84AD4" w:rsidRPr="00E660C1" w:rsidRDefault="00D84AD4" w:rsidP="00410579">
      <w:r>
        <w:t>Part 1.</w:t>
      </w:r>
    </w:p>
    <w:p w14:paraId="704D4D5A" w14:textId="147B9593" w:rsidR="00D84AD4" w:rsidRPr="00E660C1" w:rsidRDefault="00D84AD4" w:rsidP="00D84AD4">
      <w:pPr>
        <w:pStyle w:val="Paragrafoelenco"/>
        <w:numPr>
          <w:ilvl w:val="0"/>
          <w:numId w:val="3"/>
        </w:numPr>
      </w:pPr>
      <w:r>
        <w:t>The supranational law of tourism</w:t>
      </w:r>
    </w:p>
    <w:p w14:paraId="6425EC96" w14:textId="5CD41E0E" w:rsidR="00D84AD4" w:rsidRPr="00E660C1" w:rsidRDefault="00D84AD4" w:rsidP="00D84AD4">
      <w:pPr>
        <w:pStyle w:val="Paragrafoelenco"/>
        <w:numPr>
          <w:ilvl w:val="0"/>
          <w:numId w:val="3"/>
        </w:numPr>
      </w:pPr>
      <w:r>
        <w:t>Tourism in European Union law</w:t>
      </w:r>
    </w:p>
    <w:p w14:paraId="56926CD1" w14:textId="4A656A63" w:rsidR="00D6291A" w:rsidRPr="00E660C1" w:rsidRDefault="00D84AD4" w:rsidP="00C16566">
      <w:pPr>
        <w:pStyle w:val="Paragrafoelenco"/>
        <w:numPr>
          <w:ilvl w:val="0"/>
          <w:numId w:val="3"/>
        </w:numPr>
      </w:pPr>
      <w:r>
        <w:t xml:space="preserve">Sources of European law: Treaties, regulations, directives, decisions and case-law of the European Court of Justice. </w:t>
      </w:r>
    </w:p>
    <w:p w14:paraId="538CF291" w14:textId="6FEB33EF" w:rsidR="007B0C60" w:rsidRPr="00E660C1" w:rsidRDefault="00D84AD4" w:rsidP="00C16566">
      <w:pPr>
        <w:pStyle w:val="Paragrafoelenco"/>
        <w:numPr>
          <w:ilvl w:val="0"/>
          <w:numId w:val="3"/>
        </w:numPr>
      </w:pPr>
      <w:r>
        <w:t xml:space="preserve">The institutions of the European Union. </w:t>
      </w:r>
    </w:p>
    <w:p w14:paraId="602C0E4B" w14:textId="23AA079E" w:rsidR="007B0C60" w:rsidRPr="00E660C1" w:rsidRDefault="00D84AD4" w:rsidP="007B0C60">
      <w:pPr>
        <w:pStyle w:val="Paragrafoelenco"/>
        <w:numPr>
          <w:ilvl w:val="0"/>
          <w:numId w:val="3"/>
        </w:numPr>
      </w:pPr>
      <w:r>
        <w:t>International resolutions and agreements on tourism and sustainable development: WTO. Global Code of Ethics for Tourism – Word Tourism Organization (WTO) – Charter for Sustainable Tourism – European Parliament Resolution 29.10.2015: “New challenges and strategies for the promotion of tourism in Europe”. – UN: Agenda 2030 for sustainable development. Resolution adopted by the General Assembly on 25.09.2015 – Communication of the Commission to the European Parliament: The European Green deal (11.12.2019).</w:t>
      </w:r>
    </w:p>
    <w:p w14:paraId="4924484F" w14:textId="22017780" w:rsidR="00DD72DB" w:rsidRPr="00E660C1" w:rsidRDefault="007B0C60" w:rsidP="007B0C60">
      <w:pPr>
        <w:pStyle w:val="Paragrafoelenco"/>
        <w:numPr>
          <w:ilvl w:val="0"/>
          <w:numId w:val="3"/>
        </w:numPr>
      </w:pPr>
      <w:r>
        <w:t>European sources on tourism and sustainable development. European Parliament: Annual Strategic Report on the implementation and delivery of the Sustainable Development Goals – Regulation (EU) of the European Parliament of 24 March 2021, No. 523 establishing the InvestEU Programme.</w:t>
      </w:r>
    </w:p>
    <w:p w14:paraId="56CDE7C3" w14:textId="3F20A7E6" w:rsidR="007B0C60" w:rsidRPr="00E660C1" w:rsidRDefault="007B0C60" w:rsidP="007B0C60">
      <w:pPr>
        <w:pStyle w:val="Paragrafoelenco"/>
        <w:numPr>
          <w:ilvl w:val="0"/>
          <w:numId w:val="3"/>
        </w:numPr>
      </w:pPr>
      <w:r>
        <w:rPr>
          <w:rFonts w:ascii="Times New Roman" w:hAnsi="Times New Roman"/>
        </w:rPr>
        <w:lastRenderedPageBreak/>
        <w:t>Tourism and the Treaty of Lisbon.</w:t>
      </w:r>
    </w:p>
    <w:p w14:paraId="024B4D9F" w14:textId="72FB53F5" w:rsidR="00516C6E" w:rsidRPr="00E660C1" w:rsidRDefault="007B0C60" w:rsidP="00516C6E">
      <w:pPr>
        <w:pStyle w:val="Paragrafoelenco"/>
        <w:numPr>
          <w:ilvl w:val="0"/>
          <w:numId w:val="3"/>
        </w:numPr>
      </w:pPr>
      <w:r>
        <w:rPr>
          <w:rFonts w:ascii="Times New Roman" w:hAnsi="Times New Roman"/>
        </w:rPr>
        <w:t>The free movement of tourists, tourism services and professions (Schengen Agreement and European legislation). The concept of consumer and the protection of tourists in European Union law: EU Directive of the European Parliament and of the Council of 25.10.2011 no. 83 on consumer rights.</w:t>
      </w:r>
    </w:p>
    <w:p w14:paraId="32A37BD9" w14:textId="191DA7A9" w:rsidR="00516C6E" w:rsidRPr="00E660C1" w:rsidRDefault="00516C6E" w:rsidP="0093687F">
      <w:pPr>
        <w:pStyle w:val="Paragrafoelenco"/>
        <w:numPr>
          <w:ilvl w:val="0"/>
          <w:numId w:val="3"/>
        </w:numPr>
        <w:rPr>
          <w:rFonts w:ascii="Times New Roman" w:hAnsi="Times New Roman"/>
        </w:rPr>
      </w:pPr>
      <w:r>
        <w:rPr>
          <w:rFonts w:ascii="Times New Roman" w:hAnsi="Times New Roman"/>
        </w:rPr>
        <w:t>EU Directive of the European Parliament and of the Council of 25 November 2015 no. 2302 concerning tourist packages and related tourist services – D. LGS 21.05.2018 no. 62 on the implementation of EU Directive 2015/2302 – The new legislation on package tours – The Tourism Code.</w:t>
      </w:r>
    </w:p>
    <w:p w14:paraId="3FBEFA11" w14:textId="34EEF911" w:rsidR="000400E3" w:rsidRPr="00E660C1" w:rsidRDefault="0093687F" w:rsidP="00516C6E">
      <w:pPr>
        <w:pStyle w:val="Paragrafoelenco"/>
        <w:numPr>
          <w:ilvl w:val="0"/>
          <w:numId w:val="3"/>
        </w:numPr>
        <w:rPr>
          <w:rFonts w:ascii="Times New Roman" w:hAnsi="Times New Roman"/>
        </w:rPr>
      </w:pPr>
      <w:r>
        <w:rPr>
          <w:rFonts w:ascii="Times New Roman" w:hAnsi="Times New Roman"/>
        </w:rPr>
        <w:t>Tourist contracts: transport, hotel, storage and tourist rental. Directives 94/47/EC and 2008/122/EC.</w:t>
      </w:r>
    </w:p>
    <w:p w14:paraId="2AC90079" w14:textId="22315F1E" w:rsidR="000400E3" w:rsidRPr="00E660C1" w:rsidRDefault="000400E3" w:rsidP="00516C6E">
      <w:pPr>
        <w:pStyle w:val="Paragrafoelenco"/>
        <w:numPr>
          <w:ilvl w:val="0"/>
          <w:numId w:val="3"/>
        </w:numPr>
        <w:rPr>
          <w:rFonts w:ascii="Times New Roman" w:hAnsi="Times New Roman"/>
        </w:rPr>
      </w:pPr>
      <w:r>
        <w:rPr>
          <w:rFonts w:ascii="Times New Roman" w:hAnsi="Times New Roman"/>
        </w:rPr>
        <w:t>“Ruined holiday compensation” and alternative dispute resolution tools.</w:t>
      </w:r>
    </w:p>
    <w:p w14:paraId="5B1AD7FD" w14:textId="4A238E55" w:rsidR="0093687F" w:rsidRPr="006B4383" w:rsidRDefault="0093687F" w:rsidP="00516C6E">
      <w:pPr>
        <w:pStyle w:val="Paragrafoelenco"/>
        <w:numPr>
          <w:ilvl w:val="0"/>
          <w:numId w:val="3"/>
        </w:numPr>
        <w:rPr>
          <w:rFonts w:ascii="Times New Roman" w:hAnsi="Times New Roman"/>
        </w:rPr>
      </w:pPr>
      <w:r w:rsidRPr="006B4383">
        <w:rPr>
          <w:rFonts w:ascii="Times New Roman" w:hAnsi="Times New Roman"/>
        </w:rPr>
        <w:t>Tourism enterprises within the framework of European legislation.</w:t>
      </w:r>
    </w:p>
    <w:p w14:paraId="31F8DE15" w14:textId="4303C7C8" w:rsidR="004F5E26" w:rsidRPr="006B4383" w:rsidRDefault="00E95B4C" w:rsidP="004F5E26">
      <w:pPr>
        <w:pStyle w:val="Paragrafoelenco"/>
        <w:numPr>
          <w:ilvl w:val="0"/>
          <w:numId w:val="3"/>
        </w:numPr>
        <w:rPr>
          <w:rFonts w:ascii="Times New Roman" w:hAnsi="Times New Roman"/>
        </w:rPr>
      </w:pPr>
      <w:r w:rsidRPr="006B4383">
        <w:rPr>
          <w:rFonts w:ascii="Times New Roman" w:hAnsi="Times New Roman"/>
        </w:rPr>
        <w:t xml:space="preserve">The </w:t>
      </w:r>
      <w:r w:rsidR="004F5E26" w:rsidRPr="006B4383">
        <w:rPr>
          <w:rFonts w:ascii="Times New Roman" w:hAnsi="Times New Roman"/>
        </w:rPr>
        <w:t xml:space="preserve">EU programming and funding for the tourism sector: </w:t>
      </w:r>
    </w:p>
    <w:p w14:paraId="336C8BD9" w14:textId="5FDB341D" w:rsidR="004F5E26" w:rsidRPr="006B4383" w:rsidRDefault="004F5E26" w:rsidP="004F5E26">
      <w:pPr>
        <w:ind w:left="708"/>
        <w:rPr>
          <w:rFonts w:ascii="Times New Roman" w:hAnsi="Times New Roman"/>
        </w:rPr>
      </w:pPr>
      <w:r w:rsidRPr="006B4383">
        <w:rPr>
          <w:rFonts w:ascii="Times New Roman" w:hAnsi="Times New Roman"/>
        </w:rPr>
        <w:t>the multiannual financial framework (MFF) for the period 2021/2027. Next Generation EU (NGEU). The Italian PNRR (National Recovery and Resilience Plan). European direct and indirect funding. The funds of the European Investment Bank (EIB). The support of the European Bank for Reconstruction and Development (EBRD).</w:t>
      </w:r>
    </w:p>
    <w:p w14:paraId="079FD357" w14:textId="77777777" w:rsidR="004F5E26" w:rsidRPr="006B4383" w:rsidRDefault="004F5E26" w:rsidP="004F5E26">
      <w:pPr>
        <w:pStyle w:val="Paragrafoelenco"/>
        <w:numPr>
          <w:ilvl w:val="0"/>
          <w:numId w:val="3"/>
        </w:numPr>
        <w:rPr>
          <w:rFonts w:ascii="Times New Roman" w:hAnsi="Times New Roman"/>
        </w:rPr>
      </w:pPr>
      <w:r w:rsidRPr="006B4383">
        <w:rPr>
          <w:rFonts w:ascii="Times New Roman" w:hAnsi="Times New Roman"/>
        </w:rPr>
        <w:t>The different steps of the approach to funding: project idea, planning, partnership, administrative and financial management. The Project Cycle Management Guidelines of the European Commission.</w:t>
      </w:r>
    </w:p>
    <w:p w14:paraId="600E1EF9" w14:textId="77777777" w:rsidR="007B0C60" w:rsidRPr="006B4383" w:rsidRDefault="007B0C60" w:rsidP="00410579"/>
    <w:p w14:paraId="33AF1A0A" w14:textId="4A2FAC93" w:rsidR="00410579" w:rsidRPr="00E660C1" w:rsidRDefault="00410579" w:rsidP="00410579">
      <w:r w:rsidRPr="006B4383">
        <w:t>Part 2. Single-subject part and practical classes – Case studies</w:t>
      </w:r>
    </w:p>
    <w:p w14:paraId="5F86C2DA" w14:textId="599542D7" w:rsidR="00410579" w:rsidRPr="00E660C1" w:rsidRDefault="008B556D" w:rsidP="00410579">
      <w:pPr>
        <w:numPr>
          <w:ilvl w:val="0"/>
          <w:numId w:val="1"/>
        </w:numPr>
      </w:pPr>
      <w:r>
        <w:t>Examination and drafting of an all-inclusive travel contract (tourist package – click-through). Case Studies</w:t>
      </w:r>
    </w:p>
    <w:p w14:paraId="629D5C1F" w14:textId="19D60DFA" w:rsidR="00410579" w:rsidRPr="00E660C1" w:rsidRDefault="008B556D" w:rsidP="00410579">
      <w:pPr>
        <w:numPr>
          <w:ilvl w:val="0"/>
          <w:numId w:val="1"/>
        </w:numPr>
      </w:pPr>
      <w:r>
        <w:t>Company model for setting up a tourism enterprise. Case studies</w:t>
      </w:r>
    </w:p>
    <w:p w14:paraId="43E2EA0A" w14:textId="5D51527A" w:rsidR="008B556D" w:rsidRPr="00E660C1" w:rsidRDefault="008B556D" w:rsidP="00410579">
      <w:pPr>
        <w:numPr>
          <w:ilvl w:val="0"/>
          <w:numId w:val="1"/>
        </w:numPr>
      </w:pPr>
      <w:r>
        <w:t>How to read a European call for funding for tourism. Case studies</w:t>
      </w:r>
    </w:p>
    <w:p w14:paraId="318AD761" w14:textId="77777777" w:rsidR="003918C1" w:rsidRPr="00E660C1" w:rsidRDefault="003918C1" w:rsidP="00410579">
      <w:pPr>
        <w:numPr>
          <w:ilvl w:val="0"/>
          <w:numId w:val="1"/>
        </w:numPr>
      </w:pPr>
      <w:r>
        <w:t>Other focus areas and case studies</w:t>
      </w:r>
    </w:p>
    <w:p w14:paraId="36757024" w14:textId="535E82A9" w:rsidR="003046E2" w:rsidRPr="00E660C1" w:rsidRDefault="003046E2" w:rsidP="00410579"/>
    <w:p w14:paraId="21867EB9" w14:textId="77777777" w:rsidR="006A2EF6" w:rsidRPr="00E660C1" w:rsidRDefault="006A2EF6" w:rsidP="006A2EF6">
      <w:pPr>
        <w:keepNext/>
        <w:pBdr>
          <w:top w:val="nil"/>
          <w:left w:val="nil"/>
          <w:bottom w:val="nil"/>
          <w:right w:val="nil"/>
          <w:between w:val="nil"/>
          <w:bar w:val="nil"/>
        </w:pBdr>
        <w:spacing w:before="240" w:after="120"/>
        <w:rPr>
          <w:rFonts w:ascii="Times New Roman" w:eastAsia="Arial Unicode MS" w:hAnsi="Times New Roman"/>
          <w:b/>
          <w:bCs/>
          <w:color w:val="000000"/>
          <w:sz w:val="18"/>
          <w:szCs w:val="18"/>
          <w:u w:color="000000"/>
          <w:bdr w:val="nil"/>
        </w:rPr>
      </w:pPr>
      <w:r>
        <w:rPr>
          <w:rFonts w:ascii="Times New Roman" w:hAnsi="Times New Roman"/>
          <w:b/>
          <w:i/>
          <w:color w:val="000000"/>
          <w:sz w:val="18"/>
          <w:u w:color="000000"/>
          <w:bdr w:val="nil"/>
        </w:rPr>
        <w:t>READING LIST</w:t>
      </w:r>
    </w:p>
    <w:p w14:paraId="6ACB729D" w14:textId="77777777" w:rsidR="008B556D" w:rsidRPr="00E660C1" w:rsidRDefault="008B556D" w:rsidP="00303888">
      <w:pPr>
        <w:pStyle w:val="Testo1"/>
        <w:ind w:left="0" w:firstLine="0"/>
        <w:rPr>
          <w:noProof w:val="0"/>
          <w:sz w:val="20"/>
        </w:rPr>
      </w:pPr>
    </w:p>
    <w:p w14:paraId="6FA1C446" w14:textId="29FA6130" w:rsidR="00B84E5E" w:rsidRPr="00E95B4C" w:rsidRDefault="000A3120" w:rsidP="00B84E5E">
      <w:pPr>
        <w:pStyle w:val="Testo1"/>
        <w:numPr>
          <w:ilvl w:val="0"/>
          <w:numId w:val="10"/>
        </w:numPr>
        <w:rPr>
          <w:noProof w:val="0"/>
          <w:sz w:val="20"/>
          <w:lang w:val="it-IT"/>
        </w:rPr>
      </w:pPr>
      <w:r w:rsidRPr="00E95B4C">
        <w:rPr>
          <w:smallCaps/>
          <w:sz w:val="16"/>
          <w:lang w:val="it-IT"/>
        </w:rPr>
        <w:t>G. Grisi - S. Mazzamuto</w:t>
      </w:r>
      <w:r w:rsidRPr="00E95B4C">
        <w:rPr>
          <w:sz w:val="20"/>
          <w:lang w:val="it-IT"/>
        </w:rPr>
        <w:t>,</w:t>
      </w:r>
      <w:r w:rsidRPr="00E95B4C">
        <w:rPr>
          <w:lang w:val="it-IT"/>
        </w:rPr>
        <w:t xml:space="preserve"> </w:t>
      </w:r>
      <w:r w:rsidRPr="00E95B4C">
        <w:rPr>
          <w:i/>
          <w:lang w:val="it-IT"/>
        </w:rPr>
        <w:t>Diritto del turismo</w:t>
      </w:r>
      <w:r w:rsidRPr="00E95B4C">
        <w:rPr>
          <w:lang w:val="it-IT"/>
        </w:rPr>
        <w:t>, G. Giappichelli Editore, latest edition;</w:t>
      </w:r>
    </w:p>
    <w:p w14:paraId="20BE71FF" w14:textId="673CF6FB" w:rsidR="00B84E5E" w:rsidRPr="00E95B4C" w:rsidRDefault="00B84E5E" w:rsidP="00B84E5E">
      <w:pPr>
        <w:pStyle w:val="Testo1"/>
        <w:numPr>
          <w:ilvl w:val="0"/>
          <w:numId w:val="10"/>
        </w:numPr>
        <w:rPr>
          <w:noProof w:val="0"/>
          <w:szCs w:val="18"/>
          <w:lang w:val="it-IT"/>
        </w:rPr>
      </w:pPr>
      <w:r w:rsidRPr="00E95B4C">
        <w:rPr>
          <w:smallCaps/>
          <w:sz w:val="16"/>
          <w:lang w:val="it-IT"/>
        </w:rPr>
        <w:t>M. D’Amico</w:t>
      </w:r>
      <w:r w:rsidRPr="00E95B4C">
        <w:rPr>
          <w:sz w:val="20"/>
          <w:lang w:val="it-IT"/>
        </w:rPr>
        <w:t xml:space="preserve">, </w:t>
      </w:r>
      <w:r w:rsidRPr="00E95B4C">
        <w:rPr>
          <w:i/>
          <w:lang w:val="it-IT"/>
        </w:rPr>
        <w:t>Progettare in Europa</w:t>
      </w:r>
      <w:r w:rsidRPr="00E95B4C">
        <w:rPr>
          <w:lang w:val="it-IT"/>
        </w:rPr>
        <w:t>, Erickson Editore, latest edition;</w:t>
      </w:r>
    </w:p>
    <w:p w14:paraId="4B9BE7C4" w14:textId="77777777" w:rsidR="00B84E5E" w:rsidRPr="00E95B4C" w:rsidRDefault="00124786" w:rsidP="00B84E5E">
      <w:pPr>
        <w:pStyle w:val="Testo1"/>
        <w:numPr>
          <w:ilvl w:val="0"/>
          <w:numId w:val="10"/>
        </w:numPr>
        <w:rPr>
          <w:noProof w:val="0"/>
          <w:sz w:val="20"/>
          <w:lang w:val="it-IT"/>
        </w:rPr>
      </w:pPr>
      <w:r w:rsidRPr="00E95B4C">
        <w:rPr>
          <w:smallCaps/>
          <w:sz w:val="16"/>
          <w:lang w:val="it-IT"/>
        </w:rPr>
        <w:t>U. Villani</w:t>
      </w:r>
      <w:r w:rsidRPr="00E95B4C">
        <w:rPr>
          <w:sz w:val="20"/>
          <w:lang w:val="it-IT"/>
        </w:rPr>
        <w:t xml:space="preserve">, </w:t>
      </w:r>
      <w:r w:rsidRPr="00E95B4C">
        <w:rPr>
          <w:i/>
          <w:lang w:val="it-IT"/>
        </w:rPr>
        <w:t>Istituzioni di diritto dell’Unione Europea</w:t>
      </w:r>
      <w:r w:rsidRPr="00E95B4C">
        <w:rPr>
          <w:lang w:val="it-IT"/>
        </w:rPr>
        <w:t>, Cacucci Editore, sixth edition</w:t>
      </w:r>
    </w:p>
    <w:p w14:paraId="764A7136" w14:textId="79EE1538" w:rsidR="00124786" w:rsidRPr="00E95B4C" w:rsidRDefault="00124786" w:rsidP="00B84E5E">
      <w:pPr>
        <w:pStyle w:val="Testo1"/>
        <w:numPr>
          <w:ilvl w:val="0"/>
          <w:numId w:val="10"/>
        </w:numPr>
        <w:rPr>
          <w:noProof w:val="0"/>
          <w:szCs w:val="18"/>
          <w:lang w:val="it-IT"/>
        </w:rPr>
      </w:pPr>
      <w:r w:rsidRPr="00E95B4C">
        <w:rPr>
          <w:sz w:val="20"/>
          <w:lang w:val="it-IT"/>
        </w:rPr>
        <w:t>Commissione Europea,</w:t>
      </w:r>
      <w:r w:rsidRPr="00E95B4C">
        <w:rPr>
          <w:i/>
          <w:sz w:val="20"/>
          <w:lang w:val="it-IT"/>
        </w:rPr>
        <w:t xml:space="preserve"> </w:t>
      </w:r>
      <w:r w:rsidRPr="00E95B4C">
        <w:rPr>
          <w:i/>
          <w:lang w:val="it-IT"/>
        </w:rPr>
        <w:t>Guida ai finanziamenti europei per il settore del turismo 2021-2027</w:t>
      </w:r>
      <w:r w:rsidRPr="00E95B4C">
        <w:rPr>
          <w:lang w:val="it-IT"/>
        </w:rPr>
        <w:t>, europa.eu</w:t>
      </w:r>
    </w:p>
    <w:p w14:paraId="0BC939B5" w14:textId="77777777" w:rsidR="008B556D" w:rsidRPr="002D1AE6" w:rsidRDefault="008B556D" w:rsidP="00303888">
      <w:pPr>
        <w:pStyle w:val="Testo1"/>
        <w:ind w:left="0" w:firstLine="0"/>
        <w:rPr>
          <w:noProof w:val="0"/>
          <w:sz w:val="20"/>
          <w:lang w:val="it-IT"/>
        </w:rPr>
      </w:pPr>
    </w:p>
    <w:p w14:paraId="38E208D0" w14:textId="12FF2931" w:rsidR="001C028E" w:rsidRPr="00E660C1" w:rsidRDefault="00303888" w:rsidP="00303888">
      <w:pPr>
        <w:pStyle w:val="Testo1"/>
        <w:ind w:left="0" w:firstLine="0"/>
        <w:rPr>
          <w:noProof w:val="0"/>
          <w:sz w:val="20"/>
        </w:rPr>
      </w:pPr>
      <w:r>
        <w:rPr>
          <w:sz w:val="20"/>
        </w:rPr>
        <w:lastRenderedPageBreak/>
        <w:t>For the practical classes, students will also find online downloadable documents on the Blackboard platform.</w:t>
      </w:r>
    </w:p>
    <w:p w14:paraId="429F25AE" w14:textId="12B04C10" w:rsidR="00410579" w:rsidRPr="00E660C1" w:rsidRDefault="003918C1" w:rsidP="00303888">
      <w:pPr>
        <w:pStyle w:val="Testo1"/>
        <w:ind w:left="0" w:firstLine="0"/>
        <w:rPr>
          <w:noProof w:val="0"/>
          <w:sz w:val="20"/>
        </w:rPr>
      </w:pPr>
      <w:r>
        <w:rPr>
          <w:sz w:val="20"/>
        </w:rPr>
        <w:t>The parts of the above texts to be prepared for the examination will be indicated in lectures at the appropriate point in the course and communicated again at the end of the course on Blackboard. Further materials will be made available on Blackboard and are an integral part of the reading list and syllabus, along with the lecture slides. Students are invited to set up a username and password to access the Blackboard platform and the supplementary learning materials.</w:t>
      </w:r>
    </w:p>
    <w:p w14:paraId="18E79077" w14:textId="77777777" w:rsidR="006A2EF6" w:rsidRPr="00E660C1" w:rsidRDefault="006A2EF6" w:rsidP="006A2EF6">
      <w:pPr>
        <w:pBdr>
          <w:top w:val="nil"/>
          <w:left w:val="nil"/>
          <w:bottom w:val="nil"/>
          <w:right w:val="nil"/>
          <w:between w:val="nil"/>
          <w:bar w:val="nil"/>
        </w:pBdr>
        <w:spacing w:before="240" w:after="120" w:line="220" w:lineRule="exact"/>
        <w:rPr>
          <w:rFonts w:ascii="Times New Roman" w:eastAsia="Arial Unicode MS" w:hAnsi="Times New Roman"/>
          <w:b/>
          <w:bCs/>
          <w:i/>
          <w:iCs/>
          <w:color w:val="000000"/>
          <w:sz w:val="18"/>
          <w:szCs w:val="18"/>
          <w:u w:color="000000"/>
          <w:bdr w:val="nil"/>
        </w:rPr>
      </w:pPr>
      <w:r>
        <w:rPr>
          <w:rFonts w:ascii="Times New Roman" w:hAnsi="Times New Roman"/>
          <w:b/>
          <w:i/>
          <w:color w:val="000000"/>
          <w:sz w:val="18"/>
          <w:u w:color="000000"/>
          <w:bdr w:val="nil"/>
        </w:rPr>
        <w:t>TEACHING METHOD</w:t>
      </w:r>
    </w:p>
    <w:p w14:paraId="26165C5F" w14:textId="1485816B" w:rsidR="00410579" w:rsidRPr="00E660C1" w:rsidRDefault="00410579" w:rsidP="00410579">
      <w:pPr>
        <w:pStyle w:val="Testo2"/>
        <w:rPr>
          <w:noProof w:val="0"/>
          <w:szCs w:val="18"/>
        </w:rPr>
      </w:pPr>
      <w:r>
        <w:t>The course will be delivered by means of classroom lectures with PowerPoint presentations. There will also be practical exercises based on the case studies examined in lessons.</w:t>
      </w:r>
    </w:p>
    <w:p w14:paraId="70A38885" w14:textId="77777777" w:rsidR="006A2EF6" w:rsidRPr="00E660C1" w:rsidRDefault="006A2EF6" w:rsidP="006A2EF6">
      <w:pPr>
        <w:pBdr>
          <w:top w:val="nil"/>
          <w:left w:val="nil"/>
          <w:bottom w:val="nil"/>
          <w:right w:val="nil"/>
          <w:between w:val="nil"/>
          <w:bar w:val="nil"/>
        </w:pBdr>
        <w:tabs>
          <w:tab w:val="left" w:pos="2385"/>
        </w:tabs>
        <w:spacing w:before="240" w:after="120" w:line="220" w:lineRule="exact"/>
        <w:rPr>
          <w:rFonts w:ascii="Times New Roman" w:eastAsia="Arial Unicode MS" w:hAnsi="Times New Roman"/>
          <w:b/>
          <w:bCs/>
          <w:i/>
          <w:iCs/>
          <w:color w:val="000000"/>
          <w:sz w:val="18"/>
          <w:szCs w:val="18"/>
          <w:u w:color="000000"/>
          <w:bdr w:val="nil"/>
        </w:rPr>
      </w:pPr>
      <w:r>
        <w:rPr>
          <w:rFonts w:ascii="Times New Roman" w:hAnsi="Times New Roman"/>
          <w:b/>
          <w:i/>
          <w:color w:val="000000"/>
          <w:sz w:val="18"/>
          <w:u w:color="000000"/>
          <w:bdr w:val="nil"/>
        </w:rPr>
        <w:t>ASSESSMENT METHOD AND CRITERIA</w:t>
      </w:r>
    </w:p>
    <w:p w14:paraId="5C0ECBE9" w14:textId="48708A32" w:rsidR="00152080" w:rsidRPr="00E660C1" w:rsidRDefault="00410579" w:rsidP="00410579">
      <w:pPr>
        <w:pStyle w:val="Testo2"/>
        <w:rPr>
          <w:noProof w:val="0"/>
          <w:szCs w:val="18"/>
        </w:rPr>
      </w:pPr>
      <w:r>
        <w:t xml:space="preserve">Students will be assessed by means of an oral exam on the syllabus content. The assessment criteria include: general knowledge of the subject; and the ability to deal with and analyse the legislation examined during the course and its practical application by examining practical cases.  Students must be able to explain the main characteristics of European legislation, with its specific sources, and its concrete implementation within the Italian legal system. </w:t>
      </w:r>
    </w:p>
    <w:p w14:paraId="78D5108D" w14:textId="77777777" w:rsidR="006A2EF6" w:rsidRPr="00E660C1" w:rsidRDefault="006A2EF6" w:rsidP="006A2EF6">
      <w:pPr>
        <w:pBdr>
          <w:top w:val="nil"/>
          <w:left w:val="nil"/>
          <w:bottom w:val="nil"/>
          <w:right w:val="nil"/>
          <w:between w:val="nil"/>
          <w:bar w:val="nil"/>
        </w:pBdr>
        <w:tabs>
          <w:tab w:val="clear" w:pos="284"/>
        </w:tabs>
        <w:spacing w:before="240" w:after="120" w:line="240" w:lineRule="auto"/>
        <w:jc w:val="left"/>
        <w:rPr>
          <w:rFonts w:ascii="Times New Roman" w:eastAsia="Arial Unicode MS" w:hAnsi="Times New Roman"/>
          <w:b/>
          <w:i/>
          <w:sz w:val="18"/>
          <w:szCs w:val="18"/>
          <w:bdr w:val="nil"/>
        </w:rPr>
      </w:pPr>
      <w:r>
        <w:rPr>
          <w:rFonts w:ascii="Times New Roman" w:hAnsi="Times New Roman"/>
          <w:b/>
          <w:i/>
          <w:sz w:val="18"/>
          <w:bdr w:val="nil"/>
        </w:rPr>
        <w:t>NOTES AND PREREQUISITES</w:t>
      </w:r>
    </w:p>
    <w:p w14:paraId="3CD1496A" w14:textId="77777777" w:rsidR="00410579" w:rsidRPr="00E660C1" w:rsidRDefault="00410579" w:rsidP="00410579">
      <w:pPr>
        <w:pStyle w:val="Testo2"/>
        <w:rPr>
          <w:noProof w:val="0"/>
          <w:szCs w:val="18"/>
        </w:rPr>
      </w:pPr>
      <w:r>
        <w:t>This course is not repeatable.</w:t>
      </w:r>
    </w:p>
    <w:p w14:paraId="43FA4611" w14:textId="77777777" w:rsidR="00410579" w:rsidRPr="00E660C1" w:rsidRDefault="00410579" w:rsidP="00410579">
      <w:pPr>
        <w:pStyle w:val="Testo2"/>
        <w:rPr>
          <w:i/>
          <w:noProof w:val="0"/>
          <w:szCs w:val="18"/>
        </w:rPr>
      </w:pPr>
    </w:p>
    <w:p w14:paraId="19C0F0EF" w14:textId="77777777" w:rsidR="006A2EF6" w:rsidRPr="00E660C1" w:rsidRDefault="006A2EF6" w:rsidP="006A2EF6">
      <w:pPr>
        <w:pBdr>
          <w:top w:val="nil"/>
          <w:left w:val="nil"/>
          <w:bottom w:val="nil"/>
          <w:right w:val="nil"/>
          <w:between w:val="nil"/>
          <w:bar w:val="nil"/>
        </w:pBdr>
        <w:ind w:firstLine="284"/>
        <w:rPr>
          <w:rFonts w:ascii="Times New Roman" w:eastAsia="Arial Unicode MS" w:hAnsi="Times New Roman"/>
          <w:color w:val="000000"/>
          <w:sz w:val="18"/>
          <w:szCs w:val="18"/>
          <w:u w:color="000000"/>
          <w:bdr w:val="nil"/>
        </w:rPr>
      </w:pPr>
      <w:r>
        <w:rPr>
          <w:rFonts w:ascii="Times New Roman" w:hAnsi="Times New Roman"/>
          <w:color w:val="000000"/>
          <w:sz w:val="18"/>
          <w:u w:color="000000"/>
          <w:bdr w:val="nil"/>
        </w:rPr>
        <w:t xml:space="preserve">Further information can be found on the lecturer's webpage at http://docenti.unicatt.it/web/searchByName.do?language=ENG or on the Faculty notice board. </w:t>
      </w:r>
    </w:p>
    <w:p w14:paraId="0540C71E" w14:textId="2E171F9F" w:rsidR="00410579" w:rsidRPr="00E660C1" w:rsidRDefault="00410579" w:rsidP="00410579">
      <w:pPr>
        <w:pStyle w:val="Testo2"/>
        <w:rPr>
          <w:noProof w:val="0"/>
          <w:sz w:val="20"/>
        </w:rPr>
      </w:pPr>
    </w:p>
    <w:p w14:paraId="380CEB57" w14:textId="2ED86997" w:rsidR="00B4751F" w:rsidRPr="00E660C1" w:rsidRDefault="00B4751F" w:rsidP="00595348">
      <w:pPr>
        <w:tabs>
          <w:tab w:val="clear" w:pos="284"/>
        </w:tabs>
        <w:spacing w:line="240" w:lineRule="auto"/>
        <w:ind w:firstLine="284"/>
      </w:pPr>
      <w:r>
        <w:rPr>
          <w:color w:val="000000"/>
        </w:rPr>
        <w:t xml:space="preserve"> </w:t>
      </w:r>
    </w:p>
    <w:sectPr w:rsidR="00B4751F" w:rsidRPr="00E660C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89B"/>
    <w:multiLevelType w:val="hybridMultilevel"/>
    <w:tmpl w:val="470282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4F35B7"/>
    <w:multiLevelType w:val="hybridMultilevel"/>
    <w:tmpl w:val="96FCBB4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422091"/>
    <w:multiLevelType w:val="hybridMultilevel"/>
    <w:tmpl w:val="01D0E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D81114"/>
    <w:multiLevelType w:val="hybridMultilevel"/>
    <w:tmpl w:val="470282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6B6552"/>
    <w:multiLevelType w:val="hybridMultilevel"/>
    <w:tmpl w:val="A916486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2327ED"/>
    <w:multiLevelType w:val="hybridMultilevel"/>
    <w:tmpl w:val="470282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C46FF2"/>
    <w:multiLevelType w:val="hybridMultilevel"/>
    <w:tmpl w:val="470282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B2035E"/>
    <w:multiLevelType w:val="hybridMultilevel"/>
    <w:tmpl w:val="470282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9C11AF"/>
    <w:multiLevelType w:val="hybridMultilevel"/>
    <w:tmpl w:val="470282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6A477F7"/>
    <w:multiLevelType w:val="hybridMultilevel"/>
    <w:tmpl w:val="470282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24523992">
    <w:abstractNumId w:val="4"/>
  </w:num>
  <w:num w:numId="2" w16cid:durableId="908226832">
    <w:abstractNumId w:val="1"/>
  </w:num>
  <w:num w:numId="3" w16cid:durableId="2141919346">
    <w:abstractNumId w:val="8"/>
  </w:num>
  <w:num w:numId="4" w16cid:durableId="1420366776">
    <w:abstractNumId w:val="6"/>
  </w:num>
  <w:num w:numId="5" w16cid:durableId="299657539">
    <w:abstractNumId w:val="5"/>
  </w:num>
  <w:num w:numId="6" w16cid:durableId="1578511279">
    <w:abstractNumId w:val="7"/>
  </w:num>
  <w:num w:numId="7" w16cid:durableId="1018579186">
    <w:abstractNumId w:val="3"/>
  </w:num>
  <w:num w:numId="8" w16cid:durableId="891498005">
    <w:abstractNumId w:val="0"/>
  </w:num>
  <w:num w:numId="9" w16cid:durableId="964233488">
    <w:abstractNumId w:val="9"/>
  </w:num>
  <w:num w:numId="10" w16cid:durableId="352414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79"/>
    <w:rsid w:val="000400E3"/>
    <w:rsid w:val="00047E32"/>
    <w:rsid w:val="0006176B"/>
    <w:rsid w:val="000869B8"/>
    <w:rsid w:val="000A00FC"/>
    <w:rsid w:val="000A3120"/>
    <w:rsid w:val="00104FE3"/>
    <w:rsid w:val="00124786"/>
    <w:rsid w:val="00152080"/>
    <w:rsid w:val="001A5ACE"/>
    <w:rsid w:val="001C028E"/>
    <w:rsid w:val="00262192"/>
    <w:rsid w:val="00270542"/>
    <w:rsid w:val="002D1AE6"/>
    <w:rsid w:val="002E0E77"/>
    <w:rsid w:val="00303888"/>
    <w:rsid w:val="003046E2"/>
    <w:rsid w:val="00313658"/>
    <w:rsid w:val="00346DFD"/>
    <w:rsid w:val="003918C1"/>
    <w:rsid w:val="00397717"/>
    <w:rsid w:val="003A44B9"/>
    <w:rsid w:val="00410579"/>
    <w:rsid w:val="00443149"/>
    <w:rsid w:val="004B69A8"/>
    <w:rsid w:val="004D7AA8"/>
    <w:rsid w:val="004E411C"/>
    <w:rsid w:val="004F5E26"/>
    <w:rsid w:val="005111EA"/>
    <w:rsid w:val="00516C6E"/>
    <w:rsid w:val="00520BD5"/>
    <w:rsid w:val="0055372C"/>
    <w:rsid w:val="00595348"/>
    <w:rsid w:val="005F1397"/>
    <w:rsid w:val="00654A06"/>
    <w:rsid w:val="006A2EF6"/>
    <w:rsid w:val="006B4383"/>
    <w:rsid w:val="00765334"/>
    <w:rsid w:val="007B0C60"/>
    <w:rsid w:val="008053ED"/>
    <w:rsid w:val="008B556D"/>
    <w:rsid w:val="008C04CC"/>
    <w:rsid w:val="008D1FFD"/>
    <w:rsid w:val="00911DB0"/>
    <w:rsid w:val="0093687F"/>
    <w:rsid w:val="00972C27"/>
    <w:rsid w:val="009C5DA5"/>
    <w:rsid w:val="009D18CF"/>
    <w:rsid w:val="009E314E"/>
    <w:rsid w:val="009E3516"/>
    <w:rsid w:val="00B11418"/>
    <w:rsid w:val="00B4751F"/>
    <w:rsid w:val="00B63BC6"/>
    <w:rsid w:val="00B74781"/>
    <w:rsid w:val="00B84E5E"/>
    <w:rsid w:val="00BD4257"/>
    <w:rsid w:val="00C15E38"/>
    <w:rsid w:val="00C209F7"/>
    <w:rsid w:val="00C55B67"/>
    <w:rsid w:val="00C8398C"/>
    <w:rsid w:val="00D330CF"/>
    <w:rsid w:val="00D6291A"/>
    <w:rsid w:val="00D84AD4"/>
    <w:rsid w:val="00DC0FF3"/>
    <w:rsid w:val="00DD72DB"/>
    <w:rsid w:val="00E660C1"/>
    <w:rsid w:val="00E87B5C"/>
    <w:rsid w:val="00E92632"/>
    <w:rsid w:val="00E94D1F"/>
    <w:rsid w:val="00E95B4C"/>
    <w:rsid w:val="00EB342B"/>
    <w:rsid w:val="00F0050F"/>
    <w:rsid w:val="00F5750B"/>
    <w:rsid w:val="00F67573"/>
    <w:rsid w:val="00FF05EC"/>
    <w:rsid w:val="00FF1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04781"/>
  <w15:docId w15:val="{62D0D8AD-DA00-44D9-9F7C-21961B1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5111EA"/>
    <w:pPr>
      <w:ind w:left="720"/>
      <w:contextualSpacing/>
    </w:pPr>
  </w:style>
  <w:style w:type="character" w:customStyle="1" w:styleId="a-size-large">
    <w:name w:val="a-size-large"/>
    <w:basedOn w:val="Carpredefinitoparagrafo"/>
    <w:rsid w:val="00B63BC6"/>
  </w:style>
  <w:style w:type="paragraph" w:customStyle="1" w:styleId="Default">
    <w:name w:val="Default"/>
    <w:rsid w:val="00DD72D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4872</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4</cp:revision>
  <cp:lastPrinted>2003-03-27T09:42:00Z</cp:lastPrinted>
  <dcterms:created xsi:type="dcterms:W3CDTF">2023-11-08T20:14:00Z</dcterms:created>
  <dcterms:modified xsi:type="dcterms:W3CDTF">2024-03-08T11:12:00Z</dcterms:modified>
</cp:coreProperties>
</file>