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51C9A" w14:textId="77777777" w:rsidR="006F1772" w:rsidRPr="00515129" w:rsidRDefault="000050C9" w:rsidP="005E1E97">
      <w:pPr>
        <w:pStyle w:val="Titolo1"/>
        <w:spacing w:before="0" w:line="240" w:lineRule="auto"/>
        <w:ind w:left="0" w:firstLine="0"/>
      </w:pPr>
      <w:r>
        <w:t>Teoria della persona e della comunità</w:t>
      </w:r>
    </w:p>
    <w:p w14:paraId="1C671AE9" w14:textId="35E27746" w:rsidR="00B45AF5" w:rsidRPr="00A975A5" w:rsidRDefault="00FC1AF4" w:rsidP="296CB0C4">
      <w:pPr>
        <w:pStyle w:val="Titolo2"/>
        <w:spacing w:line="240" w:lineRule="auto"/>
      </w:pPr>
      <w:r>
        <w:t>Prof. Antonio Lizzadri</w:t>
      </w:r>
    </w:p>
    <w:p w14:paraId="3A8023C1" w14:textId="69CBCEFF" w:rsidR="007418E4" w:rsidRPr="007418E4" w:rsidRDefault="007418E4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sz w:val="18"/>
          <w:szCs w:val="24"/>
        </w:rPr>
      </w:pPr>
      <w:r w:rsidRPr="007418E4">
        <w:rPr>
          <w:rFonts w:ascii="Times New Roman" w:eastAsia="MS Mincho" w:hAnsi="Times New Roman"/>
          <w:b/>
          <w:i/>
          <w:sz w:val="18"/>
          <w:szCs w:val="24"/>
        </w:rPr>
        <w:t>OBIETTIVO DEL CORSO E RISULTATI DI APPRENDIMENTO ATTESI</w:t>
      </w:r>
    </w:p>
    <w:p w14:paraId="58F1ABEC" w14:textId="0D252A90" w:rsidR="006861FD" w:rsidRDefault="00A05D29" w:rsidP="296CB0C4">
      <w:pPr>
        <w:spacing w:before="120" w:after="120"/>
        <w:rPr>
          <w:rFonts w:ascii="Times New Roman" w:hAnsi="Times New Roman"/>
        </w:rPr>
      </w:pPr>
      <w:r w:rsidRPr="296CB0C4">
        <w:rPr>
          <w:rFonts w:ascii="Times New Roman" w:hAnsi="Times New Roman"/>
          <w:color w:val="000000" w:themeColor="text1"/>
        </w:rPr>
        <w:t xml:space="preserve">Il corso intende </w:t>
      </w:r>
      <w:r w:rsidR="00126355" w:rsidRPr="296CB0C4">
        <w:rPr>
          <w:rFonts w:ascii="Times New Roman" w:hAnsi="Times New Roman"/>
          <w:color w:val="000000" w:themeColor="text1"/>
        </w:rPr>
        <w:t xml:space="preserve">sviluppare una riflessione filosofica </w:t>
      </w:r>
      <w:r w:rsidR="005E6158" w:rsidRPr="296CB0C4">
        <w:rPr>
          <w:rFonts w:ascii="Times New Roman" w:hAnsi="Times New Roman"/>
          <w:color w:val="000000" w:themeColor="text1"/>
        </w:rPr>
        <w:t>sui</w:t>
      </w:r>
      <w:r w:rsidR="006B5E5C" w:rsidRPr="296CB0C4">
        <w:rPr>
          <w:rFonts w:ascii="Times New Roman" w:hAnsi="Times New Roman"/>
          <w:color w:val="000000" w:themeColor="text1"/>
        </w:rPr>
        <w:t xml:space="preserve"> </w:t>
      </w:r>
      <w:r w:rsidR="005E6158" w:rsidRPr="296CB0C4">
        <w:rPr>
          <w:rFonts w:ascii="Times New Roman" w:hAnsi="Times New Roman"/>
          <w:color w:val="000000" w:themeColor="text1"/>
        </w:rPr>
        <w:t xml:space="preserve">concetti </w:t>
      </w:r>
      <w:r w:rsidR="006B5E5C" w:rsidRPr="296CB0C4">
        <w:rPr>
          <w:rFonts w:ascii="Times New Roman" w:hAnsi="Times New Roman"/>
          <w:color w:val="000000" w:themeColor="text1"/>
        </w:rPr>
        <w:t xml:space="preserve">di persona umana </w:t>
      </w:r>
      <w:r w:rsidR="00205B2E" w:rsidRPr="296CB0C4">
        <w:rPr>
          <w:rFonts w:ascii="Times New Roman" w:hAnsi="Times New Roman"/>
          <w:color w:val="000000" w:themeColor="text1"/>
        </w:rPr>
        <w:t>e di comunità, verificandone l’interdipendenza nell’ambito concreto e attuale dell’educazione alla cittadinanza. A tal fine, verranno adottati differenti approcci metodologici all’indagine filosofica, integrando, in particolare, fenomenologia dell’esperienza</w:t>
      </w:r>
      <w:r w:rsidR="00534BD2">
        <w:rPr>
          <w:rFonts w:ascii="Times New Roman" w:hAnsi="Times New Roman"/>
          <w:color w:val="000000" w:themeColor="text1"/>
        </w:rPr>
        <w:t xml:space="preserve"> vissuta</w:t>
      </w:r>
      <w:r w:rsidR="00205B2E" w:rsidRPr="296CB0C4">
        <w:rPr>
          <w:rFonts w:ascii="Times New Roman" w:hAnsi="Times New Roman"/>
          <w:color w:val="000000" w:themeColor="text1"/>
        </w:rPr>
        <w:t>, analisi linguistico-concettuale e ricostruzione storico-filosofica.</w:t>
      </w:r>
    </w:p>
    <w:p w14:paraId="27F6D805" w14:textId="0C8CF509" w:rsidR="006861FD" w:rsidRDefault="006861FD" w:rsidP="006861FD">
      <w:pPr>
        <w:spacing w:before="120" w:after="120"/>
        <w:rPr>
          <w:rFonts w:ascii="Times New Roman" w:hAnsi="Times New Roman"/>
        </w:rPr>
      </w:pPr>
      <w:r w:rsidRPr="296CB0C4">
        <w:rPr>
          <w:rFonts w:ascii="Times New Roman" w:hAnsi="Times New Roman"/>
        </w:rPr>
        <w:t>Al termine del corso, lo studente sarà in grado di</w:t>
      </w:r>
    </w:p>
    <w:p w14:paraId="43C9EEBD" w14:textId="4FFFCEA4" w:rsidR="006861FD" w:rsidRDefault="006861FD" w:rsidP="006861FD">
      <w:pPr>
        <w:rPr>
          <w:rFonts w:ascii="Times New Roman" w:hAnsi="Times New Roman"/>
        </w:rPr>
      </w:pPr>
      <w:r w:rsidRPr="296CB0C4">
        <w:rPr>
          <w:rFonts w:ascii="Times New Roman" w:hAnsi="Times New Roman"/>
        </w:rPr>
        <w:t>- conoscere tematiche filosofiche significative per una cultura dell'educazione e della formazione;</w:t>
      </w:r>
    </w:p>
    <w:p w14:paraId="4B227C16" w14:textId="09A91AAB" w:rsidR="006861FD" w:rsidRDefault="006861FD">
      <w:r w:rsidRPr="296CB0C4">
        <w:rPr>
          <w:rFonts w:ascii="Times New Roman" w:hAnsi="Times New Roman"/>
        </w:rPr>
        <w:t xml:space="preserve">- intervenire criticamente nel dibattito culturale, </w:t>
      </w:r>
      <w:r w:rsidRPr="296CB0C4">
        <w:rPr>
          <w:rFonts w:ascii="Times New Roman" w:hAnsi="Times New Roman"/>
          <w:color w:val="000000" w:themeColor="text1"/>
        </w:rPr>
        <w:t>discutendo i principali paradigmi inerenti al rapporto tra visioni dell’uomo e forme di comunità</w:t>
      </w:r>
      <w:r w:rsidRPr="296CB0C4">
        <w:rPr>
          <w:rFonts w:ascii="Times New Roman" w:hAnsi="Times New Roman"/>
        </w:rPr>
        <w:t xml:space="preserve"> attraverso l’uso di un lessico specialistico;</w:t>
      </w:r>
    </w:p>
    <w:p w14:paraId="34D8A7F8" w14:textId="128AA04C" w:rsidR="006861FD" w:rsidRDefault="006861FD" w:rsidP="006861FD">
      <w:pPr>
        <w:rPr>
          <w:rFonts w:ascii="Times New Roman" w:hAnsi="Times New Roman"/>
          <w:color w:val="000000" w:themeColor="text1"/>
        </w:rPr>
      </w:pPr>
      <w:r w:rsidRPr="296CB0C4">
        <w:rPr>
          <w:rFonts w:ascii="Times New Roman" w:hAnsi="Times New Roman"/>
        </w:rPr>
        <w:t>- adottare e integrare metodi di argomentazione e approcci speculativi plurali e diversificati</w:t>
      </w:r>
      <w:r w:rsidRPr="296CB0C4">
        <w:rPr>
          <w:rFonts w:ascii="Times New Roman" w:hAnsi="Times New Roman"/>
          <w:color w:val="000000" w:themeColor="text1"/>
        </w:rPr>
        <w:t>;</w:t>
      </w:r>
    </w:p>
    <w:p w14:paraId="0CF68EAA" w14:textId="6F854072" w:rsidR="00115F57" w:rsidRPr="005539C2" w:rsidRDefault="296CB0C4" w:rsidP="005539C2">
      <w:pPr>
        <w:rPr>
          <w:color w:val="000000" w:themeColor="text1"/>
        </w:rPr>
      </w:pPr>
      <w:r w:rsidRPr="296CB0C4">
        <w:rPr>
          <w:rFonts w:ascii="Times New Roman" w:hAnsi="Times New Roman"/>
          <w:color w:val="000000" w:themeColor="text1"/>
        </w:rPr>
        <w:t xml:space="preserve">- applicare categorie e metodi astratti a situazioni concrete in ambito pedagogico. </w:t>
      </w:r>
    </w:p>
    <w:p w14:paraId="7AC573BD" w14:textId="51E9AF4A" w:rsidR="007418E4" w:rsidRPr="007418E4" w:rsidRDefault="007418E4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24"/>
        </w:rPr>
      </w:pPr>
      <w:r w:rsidRPr="007418E4">
        <w:rPr>
          <w:rFonts w:ascii="Times New Roman" w:eastAsia="MS Mincho" w:hAnsi="Times New Roman"/>
          <w:b/>
          <w:i/>
          <w:sz w:val="18"/>
          <w:szCs w:val="24"/>
        </w:rPr>
        <w:t>PROGRAMMA DEL CORSO</w:t>
      </w:r>
    </w:p>
    <w:p w14:paraId="3B6113F7" w14:textId="23AB2FFF" w:rsidR="005539C2" w:rsidRPr="007418E4" w:rsidRDefault="000050C9" w:rsidP="296CB0C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bCs/>
          <w:i/>
          <w:iCs/>
          <w:sz w:val="18"/>
          <w:szCs w:val="18"/>
          <w:lang w:eastAsia="en-US"/>
        </w:rPr>
      </w:pPr>
      <w:r>
        <w:t xml:space="preserve">Il corso caratterizza innanzitutto la peculiarità del concetto di persona umana all’interno dello sviluppo dei principali modelli antropologici della tradizione storico-filosofica, evidenziandone la connessione con i rispettivi modelli di comunità. Alla luce di tali basi conoscitive preliminari, sarà possibile approfondire e affrontare criticamente la specifica teoria della persona umana e della comunità proposta da Jaques Maritain nell’ambito del personalismo contemporaneo. Si procederà infine a saggiare e consolidare sul piano pedagogico gli elementi costitutivi dell’interdipendenza teoretica e pratica tra persona umana e comunità, in riferimento alla questione dell’educazione alla cittadinanza, di particolare rilievo e interesse in seguito alla recente introduzione dell’insegnamento dell’educazione civica in tutti gli ordini e gradi del sistema di istruzione.  </w:t>
      </w:r>
    </w:p>
    <w:p w14:paraId="110C1EE6" w14:textId="2229AB85" w:rsidR="007418E4" w:rsidRPr="007418E4" w:rsidRDefault="007418E4" w:rsidP="296CB0C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bCs/>
          <w:i/>
          <w:iCs/>
          <w:sz w:val="18"/>
          <w:szCs w:val="18"/>
          <w:lang w:eastAsia="en-US"/>
        </w:rPr>
      </w:pPr>
      <w:r w:rsidRPr="296CB0C4">
        <w:rPr>
          <w:rFonts w:ascii="Times New Roman" w:eastAsia="MS Mincho" w:hAnsi="Times New Roman"/>
          <w:b/>
          <w:bCs/>
          <w:i/>
          <w:iCs/>
          <w:sz w:val="18"/>
          <w:szCs w:val="18"/>
          <w:lang w:eastAsia="en-US"/>
        </w:rPr>
        <w:t>BIBLIOGRAFIA</w:t>
      </w:r>
    </w:p>
    <w:p w14:paraId="190A2A22" w14:textId="0F310A3D" w:rsidR="000050C9" w:rsidRPr="00C35E4C" w:rsidRDefault="000050C9" w:rsidP="000050C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rPr>
          <w:rFonts w:ascii="Times New Roman" w:eastAsia="Calibri" w:hAnsi="Times New Roman"/>
          <w:color w:val="000000"/>
          <w:sz w:val="18"/>
          <w:szCs w:val="18"/>
          <w:u w:color="000000"/>
          <w:bdr w:val="nil"/>
          <w:lang w:eastAsia="en-US"/>
        </w:rPr>
      </w:pPr>
      <w:r w:rsidRPr="008938F6">
        <w:rPr>
          <w:rFonts w:ascii="Times New Roman" w:eastAsia="Calibri" w:hAnsi="Times New Roman"/>
          <w:smallCaps/>
          <w:color w:val="000000"/>
          <w:sz w:val="16"/>
          <w:szCs w:val="16"/>
          <w:u w:color="000000"/>
          <w:bdr w:val="nil"/>
          <w:lang w:eastAsia="en-US"/>
        </w:rPr>
        <w:t>A. Pessina</w:t>
      </w:r>
      <w:r w:rsidRPr="008938F6">
        <w:rPr>
          <w:rFonts w:ascii="Times New Roman" w:eastAsia="Calibri" w:hAnsi="Times New Roman"/>
          <w:smallCaps/>
          <w:color w:val="000000"/>
          <w:sz w:val="18"/>
          <w:szCs w:val="18"/>
          <w:u w:color="000000"/>
          <w:bdr w:val="nil"/>
          <w:lang w:eastAsia="en-US"/>
        </w:rPr>
        <w:t xml:space="preserve">, </w:t>
      </w:r>
      <w:r w:rsidRPr="008938F6">
        <w:rPr>
          <w:rFonts w:ascii="Times New Roman" w:eastAsia="Calibri" w:hAnsi="Times New Roman"/>
          <w:i/>
          <w:color w:val="000000"/>
          <w:sz w:val="18"/>
          <w:szCs w:val="18"/>
          <w:u w:color="000000"/>
          <w:bdr w:val="nil"/>
          <w:lang w:eastAsia="en-US"/>
        </w:rPr>
        <w:t>“Venire al mondo”. Riflessione filosofica sull'uomo come figlio e come persona,</w:t>
      </w:r>
      <w:r w:rsidRPr="008938F6">
        <w:rPr>
          <w:rFonts w:ascii="Times New Roman" w:eastAsia="Calibri" w:hAnsi="Times New Roman"/>
          <w:color w:val="000000"/>
          <w:sz w:val="18"/>
          <w:szCs w:val="18"/>
          <w:u w:color="000000"/>
          <w:bdr w:val="nil"/>
          <w:lang w:eastAsia="en-US"/>
        </w:rPr>
        <w:t xml:space="preserve"> in </w:t>
      </w:r>
      <w:r w:rsidRPr="008938F6">
        <w:rPr>
          <w:rFonts w:ascii="Times New Roman" w:eastAsia="Calibri" w:hAnsi="Times New Roman"/>
          <w:smallCaps/>
          <w:color w:val="000000"/>
          <w:sz w:val="18"/>
          <w:szCs w:val="18"/>
          <w:u w:color="000000"/>
          <w:bdr w:val="nil"/>
          <w:lang w:eastAsia="en-US"/>
        </w:rPr>
        <w:t>Id.</w:t>
      </w:r>
      <w:r w:rsidRPr="008938F6">
        <w:rPr>
          <w:rFonts w:ascii="Times New Roman" w:eastAsia="Calibri" w:hAnsi="Times New Roman"/>
          <w:color w:val="000000"/>
          <w:sz w:val="18"/>
          <w:szCs w:val="18"/>
          <w:u w:color="000000"/>
          <w:bdr w:val="nil"/>
          <w:lang w:eastAsia="en-US"/>
        </w:rPr>
        <w:t xml:space="preserve"> (a cura di), </w:t>
      </w:r>
      <w:r w:rsidRPr="008938F6">
        <w:rPr>
          <w:rFonts w:ascii="Times New Roman" w:eastAsia="Calibri" w:hAnsi="Times New Roman"/>
          <w:i/>
          <w:color w:val="000000"/>
          <w:sz w:val="18"/>
          <w:szCs w:val="18"/>
          <w:u w:color="000000"/>
          <w:bdr w:val="nil"/>
          <w:lang w:eastAsia="en-US"/>
        </w:rPr>
        <w:t>Il mio amore fragile. Storia di Francesco</w:t>
      </w:r>
      <w:r w:rsidRPr="008938F6">
        <w:rPr>
          <w:rFonts w:ascii="Times New Roman" w:eastAsia="Calibri" w:hAnsi="Times New Roman"/>
          <w:color w:val="000000"/>
          <w:sz w:val="18"/>
          <w:szCs w:val="18"/>
          <w:u w:color="000000"/>
          <w:bdr w:val="nil"/>
          <w:lang w:eastAsia="en-US"/>
        </w:rPr>
        <w:t>,</w:t>
      </w:r>
      <w:r w:rsidR="00F02346" w:rsidRPr="008938F6">
        <w:rPr>
          <w:rFonts w:ascii="Times New Roman" w:eastAsia="Calibri" w:hAnsi="Times New Roman"/>
          <w:color w:val="000000"/>
          <w:sz w:val="18"/>
          <w:szCs w:val="18"/>
          <w:u w:color="000000"/>
          <w:bdr w:val="nil"/>
          <w:lang w:eastAsia="en-US"/>
        </w:rPr>
        <w:t xml:space="preserve"> Mama </w:t>
      </w:r>
      <w:r w:rsidR="00444F9D" w:rsidRPr="008938F6">
        <w:rPr>
          <w:rFonts w:ascii="Times New Roman" w:eastAsia="Calibri" w:hAnsi="Times New Roman"/>
          <w:color w:val="000000"/>
          <w:sz w:val="18"/>
          <w:szCs w:val="18"/>
          <w:u w:color="000000"/>
          <w:bdr w:val="nil"/>
          <w:lang w:eastAsia="en-US"/>
        </w:rPr>
        <w:t>Edizioni,</w:t>
      </w:r>
      <w:r w:rsidR="00500352" w:rsidRPr="008938F6">
        <w:rPr>
          <w:rFonts w:ascii="Times New Roman" w:eastAsia="Calibri" w:hAnsi="Times New Roman"/>
          <w:color w:val="000000"/>
          <w:sz w:val="18"/>
          <w:szCs w:val="18"/>
          <w:u w:color="000000"/>
          <w:bdr w:val="nil"/>
          <w:lang w:eastAsia="en-US"/>
        </w:rPr>
        <w:t xml:space="preserve"> Novara</w:t>
      </w:r>
      <w:r w:rsidRPr="008938F6">
        <w:rPr>
          <w:rFonts w:ascii="Times New Roman" w:eastAsia="Calibri" w:hAnsi="Times New Roman"/>
          <w:color w:val="000000"/>
          <w:sz w:val="18"/>
          <w:szCs w:val="18"/>
          <w:u w:color="000000"/>
          <w:bdr w:val="nil"/>
          <w:lang w:eastAsia="en-US"/>
        </w:rPr>
        <w:t xml:space="preserve"> 20</w:t>
      </w:r>
      <w:r w:rsidR="000619EC" w:rsidRPr="008938F6">
        <w:rPr>
          <w:rFonts w:ascii="Times New Roman" w:eastAsia="Calibri" w:hAnsi="Times New Roman"/>
          <w:color w:val="000000"/>
          <w:sz w:val="18"/>
          <w:szCs w:val="18"/>
          <w:u w:color="000000"/>
          <w:bdr w:val="nil"/>
          <w:lang w:eastAsia="en-US"/>
        </w:rPr>
        <w:t>22</w:t>
      </w:r>
      <w:r w:rsidRPr="008938F6">
        <w:rPr>
          <w:rFonts w:ascii="Times New Roman" w:eastAsia="Calibri" w:hAnsi="Times New Roman"/>
          <w:color w:val="000000"/>
          <w:sz w:val="18"/>
          <w:szCs w:val="18"/>
          <w:u w:color="000000"/>
          <w:bdr w:val="nil"/>
          <w:lang w:eastAsia="en-US"/>
        </w:rPr>
        <w:t xml:space="preserve">, pp. </w:t>
      </w:r>
      <w:r w:rsidR="00F764DE" w:rsidRPr="008938F6">
        <w:rPr>
          <w:rFonts w:ascii="Times New Roman" w:eastAsia="Calibri" w:hAnsi="Times New Roman"/>
          <w:color w:val="000000"/>
          <w:sz w:val="18"/>
          <w:szCs w:val="18"/>
          <w:u w:color="000000"/>
          <w:bdr w:val="nil"/>
          <w:lang w:eastAsia="en-US"/>
        </w:rPr>
        <w:t>71-108</w:t>
      </w:r>
      <w:r w:rsidRPr="008938F6">
        <w:rPr>
          <w:rFonts w:ascii="Times New Roman" w:eastAsia="Calibri" w:hAnsi="Times New Roman"/>
          <w:color w:val="000000"/>
          <w:sz w:val="18"/>
          <w:szCs w:val="18"/>
          <w:u w:color="000000"/>
          <w:bdr w:val="nil"/>
          <w:lang w:eastAsia="en-US"/>
        </w:rPr>
        <w:t>;</w:t>
      </w:r>
      <w:r w:rsidRPr="00C35E4C">
        <w:rPr>
          <w:rFonts w:ascii="Times New Roman" w:eastAsia="Calibri" w:hAnsi="Times New Roman"/>
          <w:color w:val="000000"/>
          <w:sz w:val="18"/>
          <w:szCs w:val="18"/>
          <w:u w:color="000000"/>
          <w:bdr w:val="nil"/>
          <w:lang w:eastAsia="en-US"/>
        </w:rPr>
        <w:t xml:space="preserve"> </w:t>
      </w:r>
      <w:hyperlink r:id="rId6" w:history="1">
        <w:r w:rsidR="000C4D68" w:rsidRPr="000C4D68">
          <w:rPr>
            <w:rStyle w:val="Collegamentoipertestuale"/>
            <w:rFonts w:ascii="Times New Roman" w:eastAsia="Calibri" w:hAnsi="Times New Roman"/>
            <w:sz w:val="18"/>
            <w:szCs w:val="18"/>
            <w:u w:color="000000"/>
            <w:bdr w:val="nil"/>
            <w:lang w:eastAsia="en-US"/>
          </w:rPr>
          <w:t>Acquista da V&amp;P</w:t>
        </w:r>
      </w:hyperlink>
    </w:p>
    <w:p w14:paraId="4B00EF3B" w14:textId="16E3E40D" w:rsidR="00F764DE" w:rsidRDefault="000050C9" w:rsidP="00F764DE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rPr>
          <w:rFonts w:ascii="Times New Roman" w:eastAsia="Calibri" w:hAnsi="Times New Roman"/>
          <w:color w:val="000000"/>
          <w:sz w:val="18"/>
          <w:szCs w:val="18"/>
          <w:bdr w:val="nil"/>
          <w:lang w:eastAsia="en-US"/>
        </w:rPr>
      </w:pPr>
      <w:r w:rsidRPr="00B92DA8">
        <w:rPr>
          <w:rFonts w:ascii="Times New Roman" w:eastAsia="Calibri" w:hAnsi="Times New Roman"/>
          <w:smallCaps/>
          <w:color w:val="000000"/>
          <w:sz w:val="16"/>
          <w:szCs w:val="16"/>
          <w:bdr w:val="nil"/>
          <w:lang w:eastAsia="en-US"/>
        </w:rPr>
        <w:t>J. Maritain</w:t>
      </w:r>
      <w:r w:rsidRPr="00C35E4C">
        <w:rPr>
          <w:rFonts w:ascii="Times New Roman" w:eastAsia="Calibri" w:hAnsi="Times New Roman"/>
          <w:smallCaps/>
          <w:color w:val="000000"/>
          <w:sz w:val="18"/>
          <w:szCs w:val="18"/>
          <w:bdr w:val="nil"/>
          <w:lang w:eastAsia="en-US"/>
        </w:rPr>
        <w:t xml:space="preserve">, </w:t>
      </w:r>
      <w:r w:rsidRPr="296CB0C4">
        <w:rPr>
          <w:rFonts w:ascii="Times New Roman" w:eastAsia="Calibri" w:hAnsi="Times New Roman"/>
          <w:i/>
          <w:iCs/>
          <w:color w:val="000000"/>
          <w:sz w:val="18"/>
          <w:szCs w:val="18"/>
          <w:bdr w:val="nil"/>
          <w:lang w:eastAsia="en-US"/>
        </w:rPr>
        <w:t>La persona e il bene comune</w:t>
      </w:r>
      <w:r w:rsidRPr="00C35E4C">
        <w:rPr>
          <w:rFonts w:ascii="Times New Roman" w:eastAsia="Calibri" w:hAnsi="Times New Roman"/>
          <w:color w:val="000000"/>
          <w:sz w:val="18"/>
          <w:szCs w:val="18"/>
          <w:bdr w:val="nil"/>
          <w:lang w:eastAsia="en-US"/>
        </w:rPr>
        <w:t xml:space="preserve">, </w:t>
      </w:r>
      <w:proofErr w:type="spellStart"/>
      <w:r w:rsidRPr="00C35E4C">
        <w:rPr>
          <w:rFonts w:ascii="Times New Roman" w:eastAsia="Calibri" w:hAnsi="Times New Roman"/>
          <w:color w:val="000000"/>
          <w:sz w:val="18"/>
          <w:szCs w:val="18"/>
          <w:bdr w:val="nil"/>
          <w:lang w:eastAsia="en-US"/>
        </w:rPr>
        <w:t>Morcelliana</w:t>
      </w:r>
      <w:proofErr w:type="spellEnd"/>
      <w:r w:rsidRPr="00C35E4C">
        <w:rPr>
          <w:rFonts w:ascii="Times New Roman" w:eastAsia="Calibri" w:hAnsi="Times New Roman"/>
          <w:color w:val="000000"/>
          <w:sz w:val="18"/>
          <w:szCs w:val="18"/>
          <w:bdr w:val="nil"/>
          <w:lang w:eastAsia="en-US"/>
        </w:rPr>
        <w:t>, Brescia 2009</w:t>
      </w:r>
      <w:r w:rsidR="000619EC">
        <w:rPr>
          <w:rFonts w:ascii="Times New Roman" w:eastAsia="Calibri" w:hAnsi="Times New Roman"/>
          <w:color w:val="000000"/>
          <w:sz w:val="18"/>
          <w:szCs w:val="18"/>
          <w:bdr w:val="nil"/>
          <w:lang w:eastAsia="en-US"/>
        </w:rPr>
        <w:t>;</w:t>
      </w:r>
      <w:r w:rsidR="000C4D68">
        <w:rPr>
          <w:rFonts w:ascii="Times New Roman" w:eastAsia="Calibri" w:hAnsi="Times New Roman"/>
          <w:color w:val="000000"/>
          <w:sz w:val="18"/>
          <w:szCs w:val="18"/>
          <w:bdr w:val="nil"/>
          <w:lang w:eastAsia="en-US"/>
        </w:rPr>
        <w:t xml:space="preserve"> </w:t>
      </w:r>
      <w:hyperlink r:id="rId7" w:history="1">
        <w:r w:rsidR="000C4D68" w:rsidRPr="000C4D68">
          <w:rPr>
            <w:rStyle w:val="Collegamentoipertestuale"/>
            <w:rFonts w:ascii="Times New Roman" w:eastAsia="Calibri" w:hAnsi="Times New Roman"/>
            <w:sz w:val="18"/>
            <w:szCs w:val="18"/>
            <w:bdr w:val="nil"/>
            <w:lang w:eastAsia="en-US"/>
          </w:rPr>
          <w:t>Acquista da V&amp;P</w:t>
        </w:r>
      </w:hyperlink>
    </w:p>
    <w:p w14:paraId="57A7A4A2" w14:textId="27577329" w:rsidR="000F56CB" w:rsidRPr="00F764DE" w:rsidRDefault="00F65D97" w:rsidP="296CB0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jc w:val="left"/>
        <w:rPr>
          <w:rFonts w:ascii="Times New Roman" w:eastAsia="Calibri" w:hAnsi="Times New Roman"/>
          <w:color w:val="000000" w:themeColor="text1"/>
          <w:sz w:val="18"/>
          <w:szCs w:val="18"/>
          <w:lang w:eastAsia="en-US"/>
        </w:rPr>
      </w:pPr>
      <w:r w:rsidRPr="00B92DA8">
        <w:rPr>
          <w:rFonts w:ascii="Times New Roman" w:eastAsia="Calibri" w:hAnsi="Times New Roman"/>
          <w:smallCaps/>
          <w:color w:val="000000"/>
          <w:sz w:val="16"/>
          <w:szCs w:val="16"/>
          <w:bdr w:val="nil"/>
          <w:lang w:eastAsia="en-US"/>
        </w:rPr>
        <w:lastRenderedPageBreak/>
        <w:t xml:space="preserve">A. </w:t>
      </w:r>
      <w:proofErr w:type="spellStart"/>
      <w:r w:rsidRPr="00B92DA8">
        <w:rPr>
          <w:rFonts w:ascii="Times New Roman" w:eastAsia="Calibri" w:hAnsi="Times New Roman"/>
          <w:smallCaps/>
          <w:color w:val="000000"/>
          <w:sz w:val="16"/>
          <w:szCs w:val="16"/>
          <w:bdr w:val="nil"/>
          <w:lang w:eastAsia="en-US"/>
        </w:rPr>
        <w:t>Gerolin</w:t>
      </w:r>
      <w:proofErr w:type="spellEnd"/>
      <w:r w:rsidRPr="00C35E4C">
        <w:rPr>
          <w:rFonts w:ascii="Times New Roman" w:eastAsia="Calibri" w:hAnsi="Times New Roman"/>
          <w:color w:val="000000"/>
          <w:sz w:val="18"/>
          <w:szCs w:val="18"/>
          <w:bdr w:val="nil"/>
          <w:lang w:eastAsia="en-US"/>
        </w:rPr>
        <w:t xml:space="preserve">, </w:t>
      </w:r>
      <w:r w:rsidRPr="296CB0C4">
        <w:rPr>
          <w:rFonts w:ascii="Times New Roman" w:eastAsia="Calibri" w:hAnsi="Times New Roman"/>
          <w:i/>
          <w:iCs/>
          <w:color w:val="000000"/>
          <w:sz w:val="18"/>
          <w:szCs w:val="18"/>
          <w:bdr w:val="nil"/>
          <w:lang w:eastAsia="en-US"/>
        </w:rPr>
        <w:t>Cittadinanza</w:t>
      </w:r>
      <w:r w:rsidRPr="00C35E4C">
        <w:rPr>
          <w:rFonts w:ascii="Times New Roman" w:eastAsia="Calibri" w:hAnsi="Times New Roman"/>
          <w:color w:val="000000"/>
          <w:sz w:val="18"/>
          <w:szCs w:val="18"/>
          <w:bdr w:val="nil"/>
          <w:lang w:eastAsia="en-US"/>
        </w:rPr>
        <w:t xml:space="preserve">, in </w:t>
      </w:r>
      <w:r w:rsidR="000B2390" w:rsidRPr="00C35E4C">
        <w:rPr>
          <w:rFonts w:ascii="Times New Roman" w:eastAsia="Calibri" w:hAnsi="Times New Roman"/>
          <w:color w:val="000000"/>
          <w:sz w:val="18"/>
          <w:szCs w:val="18"/>
          <w:bdr w:val="nil"/>
          <w:lang w:eastAsia="en-US"/>
        </w:rPr>
        <w:t>«</w:t>
      </w:r>
      <w:r w:rsidR="009A6354" w:rsidRPr="00C35E4C">
        <w:rPr>
          <w:rFonts w:ascii="Times New Roman" w:eastAsia="Calibri" w:hAnsi="Times New Roman"/>
          <w:color w:val="000000"/>
          <w:sz w:val="18"/>
          <w:szCs w:val="18"/>
          <w:bdr w:val="nil"/>
          <w:lang w:eastAsia="en-US"/>
        </w:rPr>
        <w:t>Dizionario di dottrina sociale della Chiesa</w:t>
      </w:r>
      <w:r w:rsidR="00C55629" w:rsidRPr="00C35E4C">
        <w:rPr>
          <w:rFonts w:ascii="Times New Roman" w:eastAsia="Calibri" w:hAnsi="Times New Roman"/>
          <w:color w:val="000000"/>
          <w:sz w:val="18"/>
          <w:szCs w:val="18"/>
          <w:bdr w:val="nil"/>
          <w:lang w:eastAsia="en-US"/>
        </w:rPr>
        <w:t xml:space="preserve">. </w:t>
      </w:r>
      <w:r w:rsidR="009A6354" w:rsidRPr="00C35E4C">
        <w:rPr>
          <w:rFonts w:ascii="Times New Roman" w:eastAsia="Calibri" w:hAnsi="Times New Roman"/>
          <w:color w:val="000000"/>
          <w:sz w:val="18"/>
          <w:szCs w:val="18"/>
          <w:bdr w:val="nil"/>
          <w:lang w:eastAsia="en-US"/>
        </w:rPr>
        <w:t>Le cose nuove del XXI secolo</w:t>
      </w:r>
      <w:r w:rsidR="000B2390" w:rsidRPr="00C35E4C">
        <w:rPr>
          <w:rFonts w:ascii="Times New Roman" w:eastAsia="Calibri" w:hAnsi="Times New Roman"/>
          <w:color w:val="000000"/>
          <w:sz w:val="18"/>
          <w:szCs w:val="18"/>
          <w:bdr w:val="nil"/>
          <w:lang w:eastAsia="en-US"/>
        </w:rPr>
        <w:t>»</w:t>
      </w:r>
      <w:r w:rsidR="00C55629" w:rsidRPr="00C35E4C">
        <w:rPr>
          <w:rFonts w:ascii="Times New Roman" w:eastAsia="Calibri" w:hAnsi="Times New Roman"/>
          <w:color w:val="000000"/>
          <w:sz w:val="18"/>
          <w:szCs w:val="18"/>
          <w:bdr w:val="nil"/>
          <w:lang w:eastAsia="en-US"/>
        </w:rPr>
        <w:t>,</w:t>
      </w:r>
      <w:r w:rsidR="00353BAE">
        <w:rPr>
          <w:rFonts w:ascii="Times New Roman" w:eastAsia="Calibri" w:hAnsi="Times New Roman"/>
          <w:color w:val="000000"/>
          <w:sz w:val="18"/>
          <w:szCs w:val="18"/>
          <w:bdr w:val="nil"/>
          <w:lang w:eastAsia="en-US"/>
        </w:rPr>
        <w:t xml:space="preserve"> </w:t>
      </w:r>
      <w:r w:rsidR="00E5094B" w:rsidRPr="00C35E4C">
        <w:rPr>
          <w:rFonts w:ascii="Times New Roman" w:eastAsia="Calibri" w:hAnsi="Times New Roman"/>
          <w:color w:val="000000"/>
          <w:sz w:val="18"/>
          <w:szCs w:val="18"/>
          <w:bdr w:val="nil"/>
          <w:lang w:eastAsia="en-US"/>
        </w:rPr>
        <w:t>(2021) 1, pp. 91-100</w:t>
      </w:r>
    </w:p>
    <w:p w14:paraId="3BE7A847" w14:textId="355CD608" w:rsidR="000F56CB" w:rsidRPr="00F764DE" w:rsidRDefault="00E5094B" w:rsidP="296CB0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jc w:val="left"/>
        <w:rPr>
          <w:rFonts w:ascii="Times New Roman" w:eastAsia="Calibri" w:hAnsi="Times New Roman"/>
          <w:color w:val="000000" w:themeColor="text1"/>
          <w:sz w:val="18"/>
          <w:szCs w:val="18"/>
          <w:lang w:eastAsia="en-US"/>
        </w:rPr>
      </w:pPr>
      <w:r w:rsidRPr="00C35E4C">
        <w:rPr>
          <w:rFonts w:ascii="Times New Roman" w:eastAsia="Calibri" w:hAnsi="Times New Roman"/>
          <w:color w:val="000000"/>
          <w:sz w:val="18"/>
          <w:szCs w:val="18"/>
          <w:bdr w:val="nil"/>
          <w:lang w:eastAsia="en-US"/>
        </w:rPr>
        <w:t>(</w:t>
      </w:r>
      <w:hyperlink r:id="rId8" w:history="1">
        <w:r w:rsidR="000B2390" w:rsidRPr="00C35E4C">
          <w:rPr>
            <w:rStyle w:val="Collegamentoipertestuale"/>
            <w:rFonts w:ascii="Times New Roman" w:eastAsia="Calibri" w:hAnsi="Times New Roman"/>
            <w:sz w:val="18"/>
            <w:szCs w:val="18"/>
            <w:bdr w:val="nil"/>
            <w:lang w:eastAsia="en-US"/>
          </w:rPr>
          <w:t>https://www.dizionariodottrinasociale.it/Voci/Cittadinanza.html</w:t>
        </w:r>
      </w:hyperlink>
      <w:r w:rsidR="000B2390" w:rsidRPr="00C35E4C">
        <w:rPr>
          <w:rFonts w:ascii="Times New Roman" w:eastAsia="Calibri" w:hAnsi="Times New Roman"/>
          <w:color w:val="000000"/>
          <w:sz w:val="18"/>
          <w:szCs w:val="18"/>
          <w:bdr w:val="nil"/>
          <w:lang w:eastAsia="en-US"/>
        </w:rPr>
        <w:t>);</w:t>
      </w:r>
    </w:p>
    <w:p w14:paraId="6FC36568" w14:textId="7D4BBA36" w:rsidR="000F56CB" w:rsidRPr="005539C2" w:rsidRDefault="296CB0C4" w:rsidP="005539C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Calibri" w:hAnsi="Times New Roman"/>
          <w:color w:val="000000" w:themeColor="text1"/>
          <w:sz w:val="18"/>
          <w:szCs w:val="18"/>
          <w:lang w:eastAsia="en-US"/>
        </w:rPr>
      </w:pPr>
      <w:r w:rsidRPr="00F42A5E">
        <w:rPr>
          <w:rFonts w:ascii="Times New Roman" w:eastAsia="Calibri" w:hAnsi="Times New Roman"/>
          <w:smallCaps/>
          <w:color w:val="000000" w:themeColor="text1"/>
          <w:sz w:val="16"/>
          <w:szCs w:val="16"/>
          <w:lang w:eastAsia="en-US"/>
        </w:rPr>
        <w:t xml:space="preserve">A. </w:t>
      </w:r>
      <w:proofErr w:type="spellStart"/>
      <w:r w:rsidRPr="00F42A5E">
        <w:rPr>
          <w:rFonts w:ascii="Times New Roman" w:eastAsia="Calibri" w:hAnsi="Times New Roman"/>
          <w:smallCaps/>
          <w:color w:val="000000" w:themeColor="text1"/>
          <w:sz w:val="16"/>
          <w:szCs w:val="16"/>
          <w:lang w:eastAsia="en-US"/>
        </w:rPr>
        <w:t>Caspani</w:t>
      </w:r>
      <w:proofErr w:type="spellEnd"/>
      <w:r w:rsidRPr="296CB0C4">
        <w:rPr>
          <w:rFonts w:ascii="Times New Roman" w:eastAsia="Calibri" w:hAnsi="Times New Roman"/>
          <w:smallCaps/>
          <w:color w:val="000000" w:themeColor="text1"/>
          <w:sz w:val="18"/>
          <w:szCs w:val="18"/>
          <w:lang w:eastAsia="en-US"/>
        </w:rPr>
        <w:t xml:space="preserve"> </w:t>
      </w:r>
      <w:r w:rsidRPr="296CB0C4">
        <w:rPr>
          <w:rFonts w:ascii="Times New Roman" w:eastAsia="Calibri" w:hAnsi="Times New Roman"/>
          <w:color w:val="000000" w:themeColor="text1"/>
          <w:sz w:val="18"/>
          <w:szCs w:val="18"/>
          <w:lang w:eastAsia="en-US"/>
        </w:rPr>
        <w:t>(a cura di),</w:t>
      </w:r>
      <w:r w:rsidRPr="296CB0C4">
        <w:rPr>
          <w:rFonts w:ascii="Times New Roman" w:hAnsi="Times New Roman"/>
          <w:b/>
          <w:bCs/>
          <w:color w:val="333333"/>
          <w:sz w:val="18"/>
          <w:szCs w:val="18"/>
        </w:rPr>
        <w:t xml:space="preserve"> </w:t>
      </w:r>
      <w:bookmarkStart w:id="0" w:name="_GoBack"/>
      <w:r w:rsidRPr="296CB0C4">
        <w:rPr>
          <w:rFonts w:ascii="Times New Roman" w:eastAsia="Calibri" w:hAnsi="Times New Roman"/>
          <w:i/>
          <w:iCs/>
          <w:color w:val="000000" w:themeColor="text1"/>
          <w:sz w:val="18"/>
          <w:szCs w:val="18"/>
          <w:lang w:eastAsia="en-US"/>
        </w:rPr>
        <w:t xml:space="preserve">La sfida dell'educazione civica. </w:t>
      </w:r>
      <w:bookmarkEnd w:id="0"/>
      <w:r w:rsidRPr="296CB0C4">
        <w:rPr>
          <w:rFonts w:ascii="Times New Roman" w:eastAsia="Calibri" w:hAnsi="Times New Roman"/>
          <w:i/>
          <w:iCs/>
          <w:color w:val="000000" w:themeColor="text1"/>
          <w:sz w:val="18"/>
          <w:szCs w:val="18"/>
          <w:lang w:eastAsia="en-US"/>
        </w:rPr>
        <w:t>Principi, temi, percorsi di vita sociale a scuola</w:t>
      </w:r>
      <w:r w:rsidRPr="296CB0C4">
        <w:rPr>
          <w:rFonts w:ascii="Times New Roman" w:hAnsi="Times New Roman"/>
          <w:i/>
          <w:iCs/>
          <w:color w:val="333333"/>
          <w:sz w:val="21"/>
          <w:szCs w:val="21"/>
        </w:rPr>
        <w:t xml:space="preserve">, </w:t>
      </w:r>
      <w:proofErr w:type="spellStart"/>
      <w:r w:rsidRPr="296CB0C4">
        <w:rPr>
          <w:rFonts w:ascii="Times New Roman" w:eastAsia="Calibri" w:hAnsi="Times New Roman"/>
          <w:color w:val="000000" w:themeColor="text1"/>
          <w:sz w:val="18"/>
          <w:szCs w:val="18"/>
          <w:lang w:eastAsia="en-US"/>
        </w:rPr>
        <w:t>Tecnodid</w:t>
      </w:r>
      <w:proofErr w:type="spellEnd"/>
      <w:r w:rsidRPr="296CB0C4">
        <w:rPr>
          <w:rFonts w:ascii="Times New Roman" w:eastAsia="Calibri" w:hAnsi="Times New Roman"/>
          <w:color w:val="000000" w:themeColor="text1"/>
          <w:sz w:val="18"/>
          <w:szCs w:val="18"/>
          <w:lang w:eastAsia="en-US"/>
        </w:rPr>
        <w:t>, Napoli 2020</w:t>
      </w:r>
      <w:r w:rsidR="00F42A5E">
        <w:rPr>
          <w:rFonts w:ascii="Times New Roman" w:eastAsia="Calibri" w:hAnsi="Times New Roman"/>
          <w:color w:val="000000" w:themeColor="text1"/>
          <w:sz w:val="18"/>
          <w:szCs w:val="18"/>
          <w:lang w:eastAsia="en-US"/>
        </w:rPr>
        <w:t>, pp. 5-35.</w:t>
      </w:r>
    </w:p>
    <w:p w14:paraId="0190C190" w14:textId="47FA7C74" w:rsidR="005539C2" w:rsidRPr="005539C2" w:rsidRDefault="000B2390" w:rsidP="005539C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rPr>
          <w:rFonts w:ascii="Times New Roman" w:eastAsia="Calibri" w:hAnsi="Times New Roman"/>
          <w:color w:val="000000"/>
          <w:sz w:val="18"/>
          <w:szCs w:val="18"/>
          <w:bdr w:val="nil"/>
          <w:lang w:eastAsia="en-US"/>
        </w:rPr>
      </w:pPr>
      <w:r>
        <w:rPr>
          <w:rFonts w:ascii="Times New Roman" w:eastAsia="Calibri" w:hAnsi="Times New Roman"/>
          <w:color w:val="000000"/>
          <w:sz w:val="18"/>
          <w:szCs w:val="18"/>
          <w:bdr w:val="nil"/>
          <w:lang w:eastAsia="en-US"/>
        </w:rPr>
        <w:t>Eventuale m</w:t>
      </w:r>
      <w:r w:rsidR="000050C9" w:rsidRPr="000050C9">
        <w:rPr>
          <w:rFonts w:ascii="Times New Roman" w:eastAsia="Calibri" w:hAnsi="Times New Roman"/>
          <w:color w:val="000000"/>
          <w:sz w:val="18"/>
          <w:szCs w:val="18"/>
          <w:bdr w:val="nil"/>
          <w:lang w:eastAsia="en-US"/>
        </w:rPr>
        <w:t xml:space="preserve">ateriale messo a disposizione dal docente e caricato sulla pagina </w:t>
      </w:r>
      <w:proofErr w:type="spellStart"/>
      <w:r w:rsidR="000050C9" w:rsidRPr="000050C9">
        <w:rPr>
          <w:rFonts w:ascii="Times New Roman" w:eastAsia="Calibri" w:hAnsi="Times New Roman"/>
          <w:color w:val="000000"/>
          <w:sz w:val="18"/>
          <w:szCs w:val="18"/>
          <w:bdr w:val="nil"/>
          <w:lang w:eastAsia="en-US"/>
        </w:rPr>
        <w:t>Blackboard</w:t>
      </w:r>
      <w:proofErr w:type="spellEnd"/>
      <w:r w:rsidR="000050C9" w:rsidRPr="000050C9">
        <w:rPr>
          <w:rFonts w:ascii="Times New Roman" w:eastAsia="Calibri" w:hAnsi="Times New Roman"/>
          <w:color w:val="000000"/>
          <w:sz w:val="18"/>
          <w:szCs w:val="18"/>
          <w:bdr w:val="nil"/>
          <w:lang w:eastAsia="en-US"/>
        </w:rPr>
        <w:t xml:space="preserve">. </w:t>
      </w:r>
    </w:p>
    <w:p w14:paraId="2FE042D8" w14:textId="43ADE757" w:rsidR="007418E4" w:rsidRPr="007418E4" w:rsidRDefault="007418E4" w:rsidP="00B92DA8">
      <w:pPr>
        <w:tabs>
          <w:tab w:val="clear" w:pos="284"/>
        </w:tabs>
        <w:spacing w:before="240" w:after="120" w:line="220" w:lineRule="exact"/>
        <w:rPr>
          <w:rFonts w:ascii="Times New Roman" w:eastAsia="MS Mincho" w:hAnsi="Times New Roman"/>
          <w:b/>
          <w:i/>
          <w:sz w:val="18"/>
          <w:szCs w:val="24"/>
        </w:rPr>
      </w:pPr>
      <w:r w:rsidRPr="007418E4">
        <w:rPr>
          <w:rFonts w:ascii="Times New Roman" w:eastAsia="MS Mincho" w:hAnsi="Times New Roman"/>
          <w:b/>
          <w:i/>
          <w:sz w:val="18"/>
          <w:szCs w:val="24"/>
        </w:rPr>
        <w:t>DIDATTICA DEL CORSO</w:t>
      </w:r>
    </w:p>
    <w:p w14:paraId="4548E2B4" w14:textId="35A0735F" w:rsidR="000050C9" w:rsidRPr="000050C9" w:rsidRDefault="000050C9" w:rsidP="296CB0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rPr>
          <w:rFonts w:ascii="Times New Roman" w:eastAsia="MS Mincho" w:hAnsi="Times New Roman"/>
          <w:b/>
          <w:bCs/>
          <w:i/>
          <w:iCs/>
          <w:sz w:val="18"/>
          <w:szCs w:val="18"/>
        </w:rPr>
      </w:pPr>
      <w:r w:rsidRPr="000050C9">
        <w:rPr>
          <w:rFonts w:ascii="Times New Roman" w:eastAsia="Calibri" w:hAnsi="Times New Roman"/>
          <w:color w:val="000000"/>
          <w:sz w:val="18"/>
          <w:szCs w:val="18"/>
          <w:bdr w:val="nil"/>
          <w:lang w:eastAsia="en-US"/>
        </w:rPr>
        <w:t>Lezioni in aula con strumenti didattici multimediali e interazione dialogica.</w:t>
      </w:r>
    </w:p>
    <w:p w14:paraId="22AFA931" w14:textId="77777777" w:rsidR="005539C2" w:rsidRDefault="005539C2" w:rsidP="296CB0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rPr>
          <w:rFonts w:ascii="Times New Roman" w:eastAsia="MS Mincho" w:hAnsi="Times New Roman"/>
          <w:b/>
          <w:bCs/>
          <w:i/>
          <w:iCs/>
          <w:sz w:val="18"/>
          <w:szCs w:val="18"/>
        </w:rPr>
      </w:pPr>
    </w:p>
    <w:p w14:paraId="14FA6584" w14:textId="295E5355" w:rsidR="000050C9" w:rsidRPr="000050C9" w:rsidRDefault="007418E4" w:rsidP="296CB0C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rPr>
          <w:rFonts w:ascii="Times New Roman" w:eastAsia="MS Mincho" w:hAnsi="Times New Roman"/>
          <w:b/>
          <w:bCs/>
          <w:i/>
          <w:iCs/>
          <w:sz w:val="18"/>
          <w:szCs w:val="18"/>
        </w:rPr>
      </w:pPr>
      <w:r w:rsidRPr="296CB0C4">
        <w:rPr>
          <w:rFonts w:ascii="Times New Roman" w:eastAsia="MS Mincho" w:hAnsi="Times New Roman"/>
          <w:b/>
          <w:bCs/>
          <w:i/>
          <w:iCs/>
          <w:sz w:val="18"/>
          <w:szCs w:val="18"/>
        </w:rPr>
        <w:t>METODO E CRITERI DI VALUTAZIONE</w:t>
      </w:r>
    </w:p>
    <w:p w14:paraId="3E197072" w14:textId="1DB5145B" w:rsidR="296CB0C4" w:rsidRDefault="296CB0C4" w:rsidP="296CB0C4">
      <w:pPr>
        <w:tabs>
          <w:tab w:val="clear" w:pos="284"/>
        </w:tabs>
        <w:rPr>
          <w:rFonts w:ascii="Times New Roman" w:eastAsia="Times" w:hAnsi="Times New Roman"/>
          <w:color w:val="000000" w:themeColor="text1"/>
          <w:sz w:val="18"/>
          <w:szCs w:val="18"/>
        </w:rPr>
      </w:pPr>
    </w:p>
    <w:p w14:paraId="77AF9121" w14:textId="6776C8AB" w:rsidR="000050C9" w:rsidRPr="005539C2" w:rsidRDefault="00516F27" w:rsidP="000050C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rPr>
          <w:rFonts w:ascii="Times New Roman" w:eastAsia="Times" w:hAnsi="Times New Roman"/>
          <w:color w:val="000000"/>
          <w:sz w:val="18"/>
          <w:szCs w:val="18"/>
          <w:bdr w:val="nil"/>
        </w:rPr>
      </w:pPr>
      <w:r>
        <w:rPr>
          <w:rFonts w:ascii="Times New Roman" w:eastAsia="Times" w:hAnsi="Times New Roman"/>
          <w:color w:val="000000"/>
          <w:sz w:val="18"/>
          <w:szCs w:val="18"/>
          <w:bdr w:val="nil"/>
        </w:rPr>
        <w:t>Metodo di valutazione: e</w:t>
      </w:r>
      <w:r w:rsidR="000050C9" w:rsidRPr="000050C9">
        <w:rPr>
          <w:rFonts w:ascii="Times New Roman" w:eastAsia="Times" w:hAnsi="Times New Roman"/>
          <w:color w:val="000000"/>
          <w:sz w:val="18"/>
          <w:szCs w:val="18"/>
          <w:bdr w:val="nil"/>
        </w:rPr>
        <w:t>same orale.</w:t>
      </w:r>
    </w:p>
    <w:p w14:paraId="669F7355" w14:textId="0142EC0A" w:rsidR="296CB0C4" w:rsidRDefault="296CB0C4" w:rsidP="296CB0C4">
      <w:r w:rsidRPr="296CB0C4">
        <w:rPr>
          <w:rFonts w:eastAsia="Times" w:cs="Times"/>
          <w:sz w:val="18"/>
          <w:szCs w:val="18"/>
        </w:rPr>
        <w:t xml:space="preserve">La valutazione terrà conto dei seguenti criteri: </w:t>
      </w:r>
    </w:p>
    <w:p w14:paraId="379409C3" w14:textId="4B49A2FB" w:rsidR="0006682B" w:rsidRPr="0006682B" w:rsidRDefault="0006682B" w:rsidP="0006682B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</w:pPr>
      <w:r w:rsidRPr="0006682B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>30 e lode: eccellente, conoscenze solide, e</w:t>
      </w:r>
      <w:r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>sposizione puntuale</w:t>
      </w:r>
      <w:r w:rsidRPr="0006682B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>, completa comprensione di concetti e argomenti.</w:t>
      </w:r>
    </w:p>
    <w:p w14:paraId="45475009" w14:textId="1F9DAB38" w:rsidR="0006682B" w:rsidRPr="0006682B" w:rsidRDefault="0006682B" w:rsidP="0006682B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</w:pPr>
      <w:r w:rsidRPr="0006682B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 xml:space="preserve">30: </w:t>
      </w:r>
      <w:r w:rsidR="00516F27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>ottimo</w:t>
      </w:r>
      <w:r w:rsidRPr="0006682B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 xml:space="preserve">, conoscenze complete e adeguate, </w:t>
      </w:r>
      <w:r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>esposizione</w:t>
      </w:r>
      <w:r w:rsidRPr="0006682B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 xml:space="preserve"> corretta e bene articolata.</w:t>
      </w:r>
    </w:p>
    <w:p w14:paraId="5BD64D13" w14:textId="342AC3F7" w:rsidR="0006682B" w:rsidRPr="0006682B" w:rsidRDefault="0006682B" w:rsidP="0006682B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</w:pPr>
      <w:r w:rsidRPr="0006682B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 xml:space="preserve">27-29: </w:t>
      </w:r>
      <w:r w:rsidR="00603283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 xml:space="preserve">molto </w:t>
      </w:r>
      <w:r w:rsidRPr="0006682B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 xml:space="preserve">buono, conoscenza soddisfacente, </w:t>
      </w:r>
      <w:r w:rsidR="00516F27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>esposizione</w:t>
      </w:r>
      <w:r w:rsidRPr="0006682B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 xml:space="preserve"> essenzialmente corretta.</w:t>
      </w:r>
    </w:p>
    <w:p w14:paraId="4757A9A5" w14:textId="52B3E973" w:rsidR="0006682B" w:rsidRPr="0006682B" w:rsidRDefault="0006682B" w:rsidP="0006682B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</w:pPr>
      <w:r w:rsidRPr="0006682B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>24-26: buon</w:t>
      </w:r>
      <w:r w:rsidR="00603283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>o</w:t>
      </w:r>
      <w:r w:rsidRPr="0006682B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>,</w:t>
      </w:r>
      <w:r w:rsidR="00603283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 xml:space="preserve"> conoscenze apprezzabili</w:t>
      </w:r>
      <w:r w:rsidRPr="0006682B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 xml:space="preserve"> ma non</w:t>
      </w:r>
      <w:r w:rsidR="00603283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 xml:space="preserve"> sempre</w:t>
      </w:r>
      <w:r w:rsidRPr="0006682B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 xml:space="preserve"> complet</w:t>
      </w:r>
      <w:r w:rsidR="005539C2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>e</w:t>
      </w:r>
      <w:r w:rsidRPr="0006682B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 xml:space="preserve"> e corrett</w:t>
      </w:r>
      <w:r w:rsidR="005539C2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>e</w:t>
      </w:r>
      <w:r w:rsidRPr="0006682B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>.</w:t>
      </w:r>
    </w:p>
    <w:p w14:paraId="0913ED52" w14:textId="0A918EEF" w:rsidR="0006682B" w:rsidRPr="0006682B" w:rsidRDefault="0006682B" w:rsidP="0006682B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</w:pPr>
      <w:r w:rsidRPr="0006682B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>21-23:</w:t>
      </w:r>
      <w:r w:rsidR="00603283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 xml:space="preserve"> discreto,</w:t>
      </w:r>
      <w:r w:rsidRPr="0006682B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 xml:space="preserve"> conoscenz</w:t>
      </w:r>
      <w:r w:rsidR="00603283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 xml:space="preserve">e nel complesso apprezzabili ma </w:t>
      </w:r>
      <w:r w:rsidR="005539C2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>con frequenti inesattezze.</w:t>
      </w:r>
    </w:p>
    <w:p w14:paraId="5C84161D" w14:textId="683CC9B3" w:rsidR="0006682B" w:rsidRPr="0006682B" w:rsidRDefault="0006682B" w:rsidP="0006682B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</w:pPr>
      <w:r w:rsidRPr="0006682B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>18-2</w:t>
      </w:r>
      <w:r w:rsidR="0066741B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>0</w:t>
      </w:r>
      <w:r w:rsidRPr="0006682B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>: sufficiente</w:t>
      </w:r>
      <w:r w:rsidR="0066741B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 xml:space="preserve">, </w:t>
      </w:r>
      <w:r w:rsidR="0066741B">
        <w:rPr>
          <w:rFonts w:eastAsia="Times" w:cs="Times"/>
          <w:sz w:val="18"/>
          <w:szCs w:val="18"/>
        </w:rPr>
        <w:t>c</w:t>
      </w:r>
      <w:r w:rsidR="0066741B" w:rsidRPr="296CB0C4">
        <w:rPr>
          <w:rFonts w:eastAsia="Times" w:cs="Times"/>
          <w:sz w:val="18"/>
          <w:szCs w:val="18"/>
        </w:rPr>
        <w:t>onoscenza degli aspetti fondamentali e generali del corso</w:t>
      </w:r>
    </w:p>
    <w:p w14:paraId="525140A2" w14:textId="0B8592C8" w:rsidR="0006682B" w:rsidRPr="0006682B" w:rsidRDefault="0006682B" w:rsidP="0006682B">
      <w:pPr>
        <w:pStyle w:val="Paragrafoelenco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</w:pPr>
      <w:r w:rsidRPr="0006682B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>Meno di 18: insufficiente</w:t>
      </w:r>
      <w:r w:rsidR="0066741B">
        <w:rPr>
          <w:rFonts w:ascii="Times New Roman" w:eastAsia="Times" w:hAnsi="Times New Roman"/>
          <w:color w:val="000000"/>
          <w:sz w:val="18"/>
          <w:szCs w:val="18"/>
          <w:u w:color="000000"/>
          <w:bdr w:val="nil"/>
        </w:rPr>
        <w:t>, obiettivi minimi non raggiunti</w:t>
      </w:r>
    </w:p>
    <w:p w14:paraId="47EEE56C" w14:textId="1F6B4B2E" w:rsidR="296CB0C4" w:rsidRDefault="296CB0C4" w:rsidP="296CB0C4">
      <w:pPr>
        <w:tabs>
          <w:tab w:val="clear" w:pos="284"/>
        </w:tabs>
        <w:rPr>
          <w:color w:val="000000" w:themeColor="text1"/>
          <w:sz w:val="18"/>
          <w:szCs w:val="18"/>
        </w:rPr>
      </w:pPr>
    </w:p>
    <w:p w14:paraId="583C7085" w14:textId="77777777" w:rsidR="007418E4" w:rsidRPr="007418E4" w:rsidRDefault="007418E4" w:rsidP="007418E4">
      <w:pPr>
        <w:tabs>
          <w:tab w:val="clear" w:pos="284"/>
        </w:tabs>
        <w:spacing w:before="240" w:after="120"/>
        <w:rPr>
          <w:rFonts w:ascii="Times New Roman" w:eastAsia="MS Mincho" w:hAnsi="Times New Roman"/>
          <w:b/>
          <w:i/>
          <w:sz w:val="18"/>
          <w:szCs w:val="24"/>
        </w:rPr>
      </w:pPr>
      <w:r w:rsidRPr="007418E4">
        <w:rPr>
          <w:rFonts w:ascii="Times New Roman" w:eastAsia="MS Mincho" w:hAnsi="Times New Roman"/>
          <w:b/>
          <w:i/>
          <w:sz w:val="18"/>
          <w:szCs w:val="24"/>
        </w:rPr>
        <w:t>AVVERTENZE E PREREQUISITI</w:t>
      </w:r>
    </w:p>
    <w:p w14:paraId="21B582A6" w14:textId="6DAF9999" w:rsidR="00550F71" w:rsidRPr="000050C9" w:rsidRDefault="000050C9" w:rsidP="000050C9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284"/>
        </w:tabs>
        <w:rPr>
          <w:rFonts w:ascii="Times New Roman" w:eastAsia="Calibri" w:hAnsi="Times New Roman"/>
          <w:color w:val="000000"/>
          <w:sz w:val="18"/>
          <w:szCs w:val="18"/>
          <w:u w:color="000000"/>
          <w:bdr w:val="nil"/>
          <w:lang w:eastAsia="en-US"/>
        </w:rPr>
      </w:pPr>
      <w:r w:rsidRPr="000050C9">
        <w:rPr>
          <w:rFonts w:ascii="Times New Roman" w:eastAsia="Calibri" w:hAnsi="Times New Roman"/>
          <w:bCs/>
          <w:iCs/>
          <w:color w:val="000000"/>
          <w:sz w:val="18"/>
          <w:szCs w:val="18"/>
          <w:u w:color="000000"/>
          <w:bdr w:val="nil"/>
          <w:lang w:eastAsia="en-US"/>
        </w:rPr>
        <w:t xml:space="preserve">Il corso ha carattere introduttivo e, pertanto, </w:t>
      </w:r>
      <w:r w:rsidRPr="000050C9">
        <w:rPr>
          <w:rFonts w:ascii="Times New Roman" w:eastAsia="Calibri" w:hAnsi="Times New Roman"/>
          <w:color w:val="000000"/>
          <w:sz w:val="18"/>
          <w:szCs w:val="18"/>
          <w:u w:color="000000"/>
          <w:bdr w:val="nil"/>
          <w:lang w:eastAsia="en-US"/>
        </w:rPr>
        <w:t>non sono richieste conoscenze filosofiche previe.</w:t>
      </w:r>
    </w:p>
    <w:p w14:paraId="4B61D619" w14:textId="77777777" w:rsidR="007371A0" w:rsidRPr="007418E4" w:rsidRDefault="007371A0" w:rsidP="005E1E97">
      <w:pPr>
        <w:pStyle w:val="Testo2"/>
        <w:spacing w:line="240" w:lineRule="auto"/>
        <w:ind w:firstLine="0"/>
        <w:rPr>
          <w:szCs w:val="18"/>
        </w:rPr>
      </w:pPr>
    </w:p>
    <w:p w14:paraId="21C94704" w14:textId="77777777" w:rsidR="007418E4" w:rsidRPr="00F5292D" w:rsidRDefault="007418E4" w:rsidP="00F5292D">
      <w:pPr>
        <w:tabs>
          <w:tab w:val="clear" w:pos="284"/>
        </w:tabs>
        <w:spacing w:after="120"/>
        <w:rPr>
          <w:rFonts w:ascii="Times New Roman" w:eastAsia="MS Mincho" w:hAnsi="Times New Roman"/>
          <w:i/>
          <w:sz w:val="18"/>
          <w:szCs w:val="18"/>
        </w:rPr>
      </w:pPr>
      <w:r w:rsidRPr="00F5292D">
        <w:rPr>
          <w:rFonts w:ascii="Times New Roman" w:eastAsia="MS Mincho" w:hAnsi="Times New Roman"/>
          <w:i/>
          <w:sz w:val="18"/>
          <w:szCs w:val="18"/>
        </w:rPr>
        <w:t>Orario e luogo di ricevimento degli studenti</w:t>
      </w:r>
    </w:p>
    <w:p w14:paraId="41B62903" w14:textId="078F09F4" w:rsidR="00343437" w:rsidRPr="00F5292D" w:rsidRDefault="296CB0C4" w:rsidP="296CB0C4">
      <w:pPr>
        <w:pStyle w:val="Testo2"/>
        <w:spacing w:line="240" w:lineRule="exact"/>
        <w:ind w:firstLine="0"/>
        <w:rPr>
          <w:rFonts w:ascii="Times New Roman" w:hAnsi="Times New Roman"/>
        </w:rPr>
      </w:pPr>
      <w:r w:rsidRPr="296CB0C4">
        <w:rPr>
          <w:rFonts w:ascii="Times New Roman" w:hAnsi="Times New Roman"/>
        </w:rPr>
        <w:t xml:space="preserve">Su appuntamento, sia in presenza (nella sede di Brescia o di Milano) sia da remoto, scrivendo a antonio.lizzadri@unicatt.it </w:t>
      </w:r>
    </w:p>
    <w:sectPr w:rsidR="00343437" w:rsidRPr="00F5292D" w:rsidSect="005E1E9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94492"/>
    <w:multiLevelType w:val="hybridMultilevel"/>
    <w:tmpl w:val="345294F8"/>
    <w:lvl w:ilvl="0" w:tplc="B450F316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0576D"/>
    <w:multiLevelType w:val="hybridMultilevel"/>
    <w:tmpl w:val="DA5A2CA8"/>
    <w:lvl w:ilvl="0" w:tplc="93F0D52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EDF2F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9E84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C2D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E44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524C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3C69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DAF3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C83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DE43D6"/>
    <w:multiLevelType w:val="hybridMultilevel"/>
    <w:tmpl w:val="E098B1A8"/>
    <w:lvl w:ilvl="0" w:tplc="EAA66D7E">
      <w:numFmt w:val="bullet"/>
      <w:lvlText w:val="-"/>
      <w:lvlJc w:val="left"/>
      <w:pPr>
        <w:ind w:left="4620" w:hanging="360"/>
      </w:pPr>
      <w:rPr>
        <w:rFonts w:ascii="Times" w:eastAsia="Times New Roman" w:hAnsi="Times" w:cs="Times" w:hint="default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3F2"/>
    <w:rsid w:val="000050C9"/>
    <w:rsid w:val="000063F7"/>
    <w:rsid w:val="00021884"/>
    <w:rsid w:val="00033EDA"/>
    <w:rsid w:val="00034F23"/>
    <w:rsid w:val="00060919"/>
    <w:rsid w:val="000619EC"/>
    <w:rsid w:val="0006682B"/>
    <w:rsid w:val="000B2390"/>
    <w:rsid w:val="000B7E73"/>
    <w:rsid w:val="000C4D68"/>
    <w:rsid w:val="000D4E79"/>
    <w:rsid w:val="000F56CB"/>
    <w:rsid w:val="00115F57"/>
    <w:rsid w:val="00120C2A"/>
    <w:rsid w:val="00126355"/>
    <w:rsid w:val="001512E8"/>
    <w:rsid w:val="00190C5C"/>
    <w:rsid w:val="001A29D1"/>
    <w:rsid w:val="001B4911"/>
    <w:rsid w:val="001C6249"/>
    <w:rsid w:val="001C76C2"/>
    <w:rsid w:val="00205B2E"/>
    <w:rsid w:val="00240B28"/>
    <w:rsid w:val="00265477"/>
    <w:rsid w:val="00273C27"/>
    <w:rsid w:val="002B0338"/>
    <w:rsid w:val="002C43F2"/>
    <w:rsid w:val="002D0B00"/>
    <w:rsid w:val="00343437"/>
    <w:rsid w:val="00353BAE"/>
    <w:rsid w:val="0035673E"/>
    <w:rsid w:val="0038389F"/>
    <w:rsid w:val="00384EA7"/>
    <w:rsid w:val="003E180B"/>
    <w:rsid w:val="003E29AE"/>
    <w:rsid w:val="003F32F2"/>
    <w:rsid w:val="00400B59"/>
    <w:rsid w:val="00425A25"/>
    <w:rsid w:val="00444F9D"/>
    <w:rsid w:val="00452C45"/>
    <w:rsid w:val="0047480B"/>
    <w:rsid w:val="004D1217"/>
    <w:rsid w:val="004D355F"/>
    <w:rsid w:val="004D6008"/>
    <w:rsid w:val="00500352"/>
    <w:rsid w:val="00500544"/>
    <w:rsid w:val="00515129"/>
    <w:rsid w:val="00516F27"/>
    <w:rsid w:val="00534BD2"/>
    <w:rsid w:val="00536B91"/>
    <w:rsid w:val="00550F71"/>
    <w:rsid w:val="00553458"/>
    <w:rsid w:val="005539C2"/>
    <w:rsid w:val="0056792D"/>
    <w:rsid w:val="005D3765"/>
    <w:rsid w:val="005E1E97"/>
    <w:rsid w:val="005E6158"/>
    <w:rsid w:val="005F0671"/>
    <w:rsid w:val="00603283"/>
    <w:rsid w:val="00625207"/>
    <w:rsid w:val="00644F02"/>
    <w:rsid w:val="00654D2D"/>
    <w:rsid w:val="0066741B"/>
    <w:rsid w:val="006861FD"/>
    <w:rsid w:val="00693C93"/>
    <w:rsid w:val="006B5E5C"/>
    <w:rsid w:val="006F1772"/>
    <w:rsid w:val="007056A5"/>
    <w:rsid w:val="0070753C"/>
    <w:rsid w:val="007371A0"/>
    <w:rsid w:val="00740B04"/>
    <w:rsid w:val="007418E4"/>
    <w:rsid w:val="00742338"/>
    <w:rsid w:val="0078424C"/>
    <w:rsid w:val="007D106B"/>
    <w:rsid w:val="007F6500"/>
    <w:rsid w:val="00831CE6"/>
    <w:rsid w:val="00865F3A"/>
    <w:rsid w:val="0088204E"/>
    <w:rsid w:val="008938F6"/>
    <w:rsid w:val="008AE582"/>
    <w:rsid w:val="008B3550"/>
    <w:rsid w:val="008C6EC8"/>
    <w:rsid w:val="008E308E"/>
    <w:rsid w:val="00901103"/>
    <w:rsid w:val="009368CB"/>
    <w:rsid w:val="00940DA2"/>
    <w:rsid w:val="00941E3F"/>
    <w:rsid w:val="00952158"/>
    <w:rsid w:val="00963C6A"/>
    <w:rsid w:val="00973AD0"/>
    <w:rsid w:val="00973E54"/>
    <w:rsid w:val="00980881"/>
    <w:rsid w:val="009A5969"/>
    <w:rsid w:val="009A6354"/>
    <w:rsid w:val="009C559A"/>
    <w:rsid w:val="009D185E"/>
    <w:rsid w:val="00A05D29"/>
    <w:rsid w:val="00A179D1"/>
    <w:rsid w:val="00A36749"/>
    <w:rsid w:val="00A53B11"/>
    <w:rsid w:val="00A82587"/>
    <w:rsid w:val="00A975A5"/>
    <w:rsid w:val="00AB144B"/>
    <w:rsid w:val="00AD37DA"/>
    <w:rsid w:val="00B12675"/>
    <w:rsid w:val="00B45AF5"/>
    <w:rsid w:val="00B6025D"/>
    <w:rsid w:val="00B83D9D"/>
    <w:rsid w:val="00B8684B"/>
    <w:rsid w:val="00B92DA8"/>
    <w:rsid w:val="00BB7CA6"/>
    <w:rsid w:val="00C13D15"/>
    <w:rsid w:val="00C3239E"/>
    <w:rsid w:val="00C35E4C"/>
    <w:rsid w:val="00C402D1"/>
    <w:rsid w:val="00C55629"/>
    <w:rsid w:val="00CD3A6A"/>
    <w:rsid w:val="00CF7772"/>
    <w:rsid w:val="00D4318B"/>
    <w:rsid w:val="00D802A6"/>
    <w:rsid w:val="00D90582"/>
    <w:rsid w:val="00DB429D"/>
    <w:rsid w:val="00DE0064"/>
    <w:rsid w:val="00E45F24"/>
    <w:rsid w:val="00E5094B"/>
    <w:rsid w:val="00E9548D"/>
    <w:rsid w:val="00EB2A4A"/>
    <w:rsid w:val="00EC0DE5"/>
    <w:rsid w:val="00ED0482"/>
    <w:rsid w:val="00F02346"/>
    <w:rsid w:val="00F12186"/>
    <w:rsid w:val="00F32D9D"/>
    <w:rsid w:val="00F42A5E"/>
    <w:rsid w:val="00F501F2"/>
    <w:rsid w:val="00F5292D"/>
    <w:rsid w:val="00F565FD"/>
    <w:rsid w:val="00F65D97"/>
    <w:rsid w:val="00F764DE"/>
    <w:rsid w:val="00F778F8"/>
    <w:rsid w:val="00F81114"/>
    <w:rsid w:val="00FB2094"/>
    <w:rsid w:val="00FB4779"/>
    <w:rsid w:val="00FC1AF4"/>
    <w:rsid w:val="00FE6212"/>
    <w:rsid w:val="00FF03E1"/>
    <w:rsid w:val="00FF297B"/>
    <w:rsid w:val="011869CD"/>
    <w:rsid w:val="016A7EC1"/>
    <w:rsid w:val="020AFDD0"/>
    <w:rsid w:val="036BE444"/>
    <w:rsid w:val="050D17F5"/>
    <w:rsid w:val="0566C47D"/>
    <w:rsid w:val="060ACB44"/>
    <w:rsid w:val="08EB91B5"/>
    <w:rsid w:val="0AD44C0B"/>
    <w:rsid w:val="0B86C4A7"/>
    <w:rsid w:val="0B9FED04"/>
    <w:rsid w:val="0BADBCC9"/>
    <w:rsid w:val="0BC7AA57"/>
    <w:rsid w:val="0C5F463C"/>
    <w:rsid w:val="0C701C6C"/>
    <w:rsid w:val="0D73F6D9"/>
    <w:rsid w:val="0E081D14"/>
    <w:rsid w:val="0E6201ED"/>
    <w:rsid w:val="0EF32933"/>
    <w:rsid w:val="10324D1C"/>
    <w:rsid w:val="111AACDF"/>
    <w:rsid w:val="113A6B99"/>
    <w:rsid w:val="11438D8F"/>
    <w:rsid w:val="1485997F"/>
    <w:rsid w:val="150C602F"/>
    <w:rsid w:val="1540C8EF"/>
    <w:rsid w:val="15DF563B"/>
    <w:rsid w:val="167254FC"/>
    <w:rsid w:val="1701DD18"/>
    <w:rsid w:val="189B826A"/>
    <w:rsid w:val="190053BE"/>
    <w:rsid w:val="192E7598"/>
    <w:rsid w:val="1962FAFE"/>
    <w:rsid w:val="1A2F5015"/>
    <w:rsid w:val="1B7D72B3"/>
    <w:rsid w:val="1BF07FE9"/>
    <w:rsid w:val="1CBE5689"/>
    <w:rsid w:val="1D13F0D7"/>
    <w:rsid w:val="1D56C74F"/>
    <w:rsid w:val="1D70F246"/>
    <w:rsid w:val="1D8FE7B2"/>
    <w:rsid w:val="1F0CC2A7"/>
    <w:rsid w:val="1F873B1B"/>
    <w:rsid w:val="1FFE6523"/>
    <w:rsid w:val="20505E6C"/>
    <w:rsid w:val="208A3A2C"/>
    <w:rsid w:val="208E6811"/>
    <w:rsid w:val="20C78874"/>
    <w:rsid w:val="21EC2ECD"/>
    <w:rsid w:val="2214177B"/>
    <w:rsid w:val="23408321"/>
    <w:rsid w:val="23AA1ACD"/>
    <w:rsid w:val="23AFE7DC"/>
    <w:rsid w:val="24993FA1"/>
    <w:rsid w:val="24DC5382"/>
    <w:rsid w:val="253FA76A"/>
    <w:rsid w:val="2558925E"/>
    <w:rsid w:val="25F96B7C"/>
    <w:rsid w:val="26532917"/>
    <w:rsid w:val="267823E3"/>
    <w:rsid w:val="26B7D32D"/>
    <w:rsid w:val="27924D00"/>
    <w:rsid w:val="27953BDD"/>
    <w:rsid w:val="296CB0C4"/>
    <w:rsid w:val="29A767E0"/>
    <w:rsid w:val="2A060103"/>
    <w:rsid w:val="2A1F2960"/>
    <w:rsid w:val="2B12EC53"/>
    <w:rsid w:val="2BB24D85"/>
    <w:rsid w:val="2D4E1DE6"/>
    <w:rsid w:val="2DB62D8E"/>
    <w:rsid w:val="2FE71099"/>
    <w:rsid w:val="31411CCC"/>
    <w:rsid w:val="32EE48C7"/>
    <w:rsid w:val="32F5075D"/>
    <w:rsid w:val="331DFE38"/>
    <w:rsid w:val="33354E1F"/>
    <w:rsid w:val="33EE2DA0"/>
    <w:rsid w:val="34D11E80"/>
    <w:rsid w:val="34F19158"/>
    <w:rsid w:val="3725CE62"/>
    <w:rsid w:val="372FBEBE"/>
    <w:rsid w:val="38278858"/>
    <w:rsid w:val="38ABA2AC"/>
    <w:rsid w:val="3904B2A4"/>
    <w:rsid w:val="399E0E76"/>
    <w:rsid w:val="39A4634D"/>
    <w:rsid w:val="3B943B60"/>
    <w:rsid w:val="3BF93F85"/>
    <w:rsid w:val="3CC30808"/>
    <w:rsid w:val="3D452601"/>
    <w:rsid w:val="3E41BB73"/>
    <w:rsid w:val="3E6AA13B"/>
    <w:rsid w:val="3F795C90"/>
    <w:rsid w:val="3FD924A3"/>
    <w:rsid w:val="4006719C"/>
    <w:rsid w:val="40A2B21B"/>
    <w:rsid w:val="40D91EAC"/>
    <w:rsid w:val="411A3B4A"/>
    <w:rsid w:val="4193AC0C"/>
    <w:rsid w:val="423E827C"/>
    <w:rsid w:val="43DB70BA"/>
    <w:rsid w:val="43F51969"/>
    <w:rsid w:val="44413E2D"/>
    <w:rsid w:val="45687954"/>
    <w:rsid w:val="4582A44B"/>
    <w:rsid w:val="45D48410"/>
    <w:rsid w:val="4786F393"/>
    <w:rsid w:val="47CEF50A"/>
    <w:rsid w:val="4826A43C"/>
    <w:rsid w:val="4839A57B"/>
    <w:rsid w:val="48420240"/>
    <w:rsid w:val="490FD8E0"/>
    <w:rsid w:val="499D5D2B"/>
    <w:rsid w:val="49A849A6"/>
    <w:rsid w:val="49C1D6AA"/>
    <w:rsid w:val="4A71ED49"/>
    <w:rsid w:val="4A781467"/>
    <w:rsid w:val="4AB07FB1"/>
    <w:rsid w:val="4B392D8C"/>
    <w:rsid w:val="4BD8BD72"/>
    <w:rsid w:val="4DCA21A6"/>
    <w:rsid w:val="4E8FBEA2"/>
    <w:rsid w:val="4F1B7705"/>
    <w:rsid w:val="4F6D0AAC"/>
    <w:rsid w:val="4FF189A7"/>
    <w:rsid w:val="5064B288"/>
    <w:rsid w:val="5101C268"/>
    <w:rsid w:val="5108DB0D"/>
    <w:rsid w:val="518F46B3"/>
    <w:rsid w:val="52C0D2C0"/>
    <w:rsid w:val="534E2FCD"/>
    <w:rsid w:val="541DE880"/>
    <w:rsid w:val="54767826"/>
    <w:rsid w:val="549065B4"/>
    <w:rsid w:val="56302016"/>
    <w:rsid w:val="56DE66B0"/>
    <w:rsid w:val="577103EC"/>
    <w:rsid w:val="57843E77"/>
    <w:rsid w:val="57CBF077"/>
    <w:rsid w:val="57DCC6A7"/>
    <w:rsid w:val="5A9E1242"/>
    <w:rsid w:val="5AA2B6DC"/>
    <w:rsid w:val="5B442772"/>
    <w:rsid w:val="5C39E2A3"/>
    <w:rsid w:val="5C3E873D"/>
    <w:rsid w:val="5C8484E3"/>
    <w:rsid w:val="5CB23008"/>
    <w:rsid w:val="5CD8B7F0"/>
    <w:rsid w:val="5D09A6E9"/>
    <w:rsid w:val="5DF0F462"/>
    <w:rsid w:val="5E205544"/>
    <w:rsid w:val="5E35DFBE"/>
    <w:rsid w:val="5ECD5560"/>
    <w:rsid w:val="61556650"/>
    <w:rsid w:val="61C5F380"/>
    <w:rsid w:val="61E03F3A"/>
    <w:rsid w:val="63A3C578"/>
    <w:rsid w:val="641A4D70"/>
    <w:rsid w:val="64813F3B"/>
    <w:rsid w:val="64B0B0C8"/>
    <w:rsid w:val="65F81B4B"/>
    <w:rsid w:val="6683E4C1"/>
    <w:rsid w:val="67819E8B"/>
    <w:rsid w:val="67C501E3"/>
    <w:rsid w:val="6809821D"/>
    <w:rsid w:val="68278602"/>
    <w:rsid w:val="6A107DC1"/>
    <w:rsid w:val="6A20D2A4"/>
    <w:rsid w:val="6AAF2BD0"/>
    <w:rsid w:val="6B8ED0A2"/>
    <w:rsid w:val="6B980248"/>
    <w:rsid w:val="6CB820AD"/>
    <w:rsid w:val="6CFAF725"/>
    <w:rsid w:val="6D481E83"/>
    <w:rsid w:val="6D6D777B"/>
    <w:rsid w:val="6DC49AC8"/>
    <w:rsid w:val="6DD0AB9B"/>
    <w:rsid w:val="6E53F10E"/>
    <w:rsid w:val="6F2B6AF1"/>
    <w:rsid w:val="6F6C7BFC"/>
    <w:rsid w:val="7010661D"/>
    <w:rsid w:val="703297E7"/>
    <w:rsid w:val="70820B17"/>
    <w:rsid w:val="7175EAB0"/>
    <w:rsid w:val="718891E0"/>
    <w:rsid w:val="71C7A595"/>
    <w:rsid w:val="7208A492"/>
    <w:rsid w:val="73B76007"/>
    <w:rsid w:val="73E389A3"/>
    <w:rsid w:val="744DBCE4"/>
    <w:rsid w:val="7476061C"/>
    <w:rsid w:val="74FD0A35"/>
    <w:rsid w:val="77020208"/>
    <w:rsid w:val="7820538A"/>
    <w:rsid w:val="7871F844"/>
    <w:rsid w:val="793B803C"/>
    <w:rsid w:val="7AA3D60B"/>
    <w:rsid w:val="7CB634DF"/>
    <w:rsid w:val="7DAC604A"/>
    <w:rsid w:val="7EB9A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C05BD1"/>
  <w15:docId w15:val="{09E3A724-8878-401C-8199-45B223152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45AF5"/>
    <w:pPr>
      <w:tabs>
        <w:tab w:val="clear" w:pos="284"/>
      </w:tabs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CorpotestoCarattere">
    <w:name w:val="Corpo testo Carattere"/>
    <w:basedOn w:val="Carpredefinitoparagrafo"/>
    <w:link w:val="Corpotesto"/>
    <w:rsid w:val="00B45AF5"/>
    <w:rPr>
      <w:sz w:val="24"/>
      <w:szCs w:val="24"/>
    </w:rPr>
  </w:style>
  <w:style w:type="character" w:styleId="Enfasicorsivo">
    <w:name w:val="Emphasis"/>
    <w:uiPriority w:val="20"/>
    <w:qFormat/>
    <w:rsid w:val="00B45AF5"/>
    <w:rPr>
      <w:i/>
      <w:iCs/>
    </w:rPr>
  </w:style>
  <w:style w:type="character" w:styleId="Collegamentoipertestuale">
    <w:name w:val="Hyperlink"/>
    <w:rsid w:val="00B45AF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73C27"/>
    <w:pPr>
      <w:ind w:left="720"/>
      <w:contextualSpacing/>
    </w:p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8E3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8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6041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686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zionariodottrinasociale.it/Voci/Cittadinanza.html" TargetMode="External"/><Relationship Id="rId3" Type="http://schemas.openxmlformats.org/officeDocument/2006/relationships/styles" Target="styles.xml"/><Relationship Id="rId7" Type="http://schemas.openxmlformats.org/officeDocument/2006/relationships/hyperlink" Target="https://librerie.unicatt.it/scheda-libro/jacques-maritain/la-persona-e-il-bene-comune-9788837236984-715376.html?search_string=maritain%20La%20persona%20e%20il%20bene%20comune&amp;search_results=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brerie.unicatt.it/scheda-libro/gaetano-oliva-catia-cariboni-adriano-pessina/il-mio-amore-fragile-storia-di-francesco-9788894561753-717689.html?search_string=pessina%20Il%20mio%20amore%20fragile&amp;search_results=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28431-8965-4C27-AB6A-43C48FFD0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2</Pages>
  <Words>503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Magatelli Matteo</cp:lastModifiedBy>
  <cp:revision>3</cp:revision>
  <cp:lastPrinted>2019-05-10T08:19:00Z</cp:lastPrinted>
  <dcterms:created xsi:type="dcterms:W3CDTF">2022-07-25T12:29:00Z</dcterms:created>
  <dcterms:modified xsi:type="dcterms:W3CDTF">2023-01-12T14:27:00Z</dcterms:modified>
</cp:coreProperties>
</file>