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318CD" w14:textId="77777777" w:rsidR="009C29C6" w:rsidRDefault="00E91D1D">
      <w:pPr>
        <w:pStyle w:val="Titolo1"/>
      </w:pPr>
      <w:r>
        <w:t>Scienze della terra e nutrizione</w:t>
      </w:r>
      <w:r w:rsidR="005B3A75">
        <w:t xml:space="preserve"> (con laboratorio di educ. Alim. Scien. Terra)</w:t>
      </w:r>
    </w:p>
    <w:p w14:paraId="347B4B23" w14:textId="77777777" w:rsidR="00E91D1D" w:rsidRDefault="00E91D1D" w:rsidP="00E91D1D">
      <w:pPr>
        <w:pStyle w:val="Titolo2"/>
      </w:pPr>
      <w:r>
        <w:t>Prof. Renzo Rozzini</w:t>
      </w:r>
    </w:p>
    <w:p w14:paraId="78FE4F4F" w14:textId="77777777" w:rsidR="00E91D1D" w:rsidRDefault="00E91D1D" w:rsidP="00E91D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F35827C" w14:textId="77777777" w:rsidR="00E91D1D" w:rsidRDefault="00E91D1D" w:rsidP="00773604">
      <w:r w:rsidRPr="00041E1F">
        <w:t>L’insegnamento si propone di fornire agli studenti elementi di conoscenza relativi all’alimentazione, alla nutrizione</w:t>
      </w:r>
      <w:r>
        <w:t xml:space="preserve"> e all’ecologia con la finalità di comprendere quale impatto abbiano sullo </w:t>
      </w:r>
      <w:r w:rsidRPr="00041E1F">
        <w:t xml:space="preserve">stato di salute dell’individuo </w:t>
      </w:r>
      <w:r>
        <w:t>e quali siano gli strumenti più adeguati e sostenibili per promuoverne il mantenimento</w:t>
      </w:r>
    </w:p>
    <w:p w14:paraId="52DBA164" w14:textId="77777777" w:rsidR="00E91D1D" w:rsidRDefault="00E91D1D" w:rsidP="00773604">
      <w:r>
        <w:t xml:space="preserve">Lo studente conoscerà il valore degli stili di vita da promuovere per migliorare la salute individuale e collettiva. Al termine dell’insegnamento lo studente sarà in grado di comprendere per poter applicare con modalità appropriate le indicazioni acquisite dando informazioni sostenibili relative alle caratteristiche dell’utente. </w:t>
      </w:r>
    </w:p>
    <w:p w14:paraId="4ECB6B12" w14:textId="77777777" w:rsidR="00E91D1D" w:rsidRDefault="00E91D1D" w:rsidP="00E91D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D76109" w14:textId="77777777" w:rsidR="00E91D1D" w:rsidRPr="00BD13E2" w:rsidRDefault="00E91D1D" w:rsidP="00773604">
      <w:r>
        <w:t>La promozione della salute</w:t>
      </w:r>
    </w:p>
    <w:p w14:paraId="1DB28BC2" w14:textId="77777777" w:rsidR="00E91D1D" w:rsidRDefault="00E91D1D" w:rsidP="00773604">
      <w:r>
        <w:t>Prevenire le malattie con e in un ambiente sano</w:t>
      </w:r>
    </w:p>
    <w:p w14:paraId="65A8641F" w14:textId="77777777" w:rsidR="00E91D1D" w:rsidRDefault="00E91D1D" w:rsidP="00773604">
      <w:r>
        <w:t>La valutazione del “burden” ambientale delle malattie</w:t>
      </w:r>
    </w:p>
    <w:p w14:paraId="0815E084" w14:textId="77777777" w:rsidR="00E91D1D" w:rsidRDefault="00E91D1D" w:rsidP="00773604">
      <w:r>
        <w:t>L’ambiente: le determinanti contestuali della salute</w:t>
      </w:r>
    </w:p>
    <w:p w14:paraId="4A52E6F8" w14:textId="77777777" w:rsidR="00E91D1D" w:rsidRDefault="00E91D1D" w:rsidP="00773604">
      <w:r>
        <w:t>Il “link” con le determinanti sociali della salute</w:t>
      </w:r>
    </w:p>
    <w:p w14:paraId="697388B7" w14:textId="77777777" w:rsidR="00E91D1D" w:rsidRDefault="00E91D1D" w:rsidP="00773604">
      <w:r>
        <w:t>Ambiente e demografia</w:t>
      </w:r>
    </w:p>
    <w:p w14:paraId="1050BF68" w14:textId="77777777" w:rsidR="00E91D1D" w:rsidRPr="00BD13E2" w:rsidRDefault="00E91D1D" w:rsidP="00773604">
      <w:r w:rsidRPr="00BD13E2">
        <w:t xml:space="preserve">Fragilità </w:t>
      </w:r>
      <w:r>
        <w:t xml:space="preserve">ambientale </w:t>
      </w:r>
      <w:r w:rsidRPr="00BD13E2">
        <w:t>e salute</w:t>
      </w:r>
    </w:p>
    <w:p w14:paraId="04CBB3FB" w14:textId="77777777" w:rsidR="00E91D1D" w:rsidRPr="00BD13E2" w:rsidRDefault="00E91D1D" w:rsidP="00773604">
      <w:pPr>
        <w:ind w:firstLine="708"/>
      </w:pPr>
      <w:r w:rsidRPr="00BD13E2">
        <w:t xml:space="preserve">Le nuove malattie e la medicina delle migrazioni </w:t>
      </w:r>
    </w:p>
    <w:p w14:paraId="15C44455" w14:textId="77777777" w:rsidR="00E91D1D" w:rsidRDefault="00E91D1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>Le malattie trasmissibili legate all’ambiente</w:t>
      </w:r>
    </w:p>
    <w:p w14:paraId="257E216F" w14:textId="77777777" w:rsidR="00E91D1D" w:rsidRDefault="00E91D1D" w:rsidP="00773604">
      <w:pPr>
        <w:ind w:firstLine="708"/>
      </w:pPr>
      <w:r>
        <w:t>Le vaccinazioni</w:t>
      </w:r>
    </w:p>
    <w:p w14:paraId="72D56DC5" w14:textId="77777777" w:rsidR="00E91D1D" w:rsidRDefault="00E91D1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>Le malattie infettive</w:t>
      </w:r>
    </w:p>
    <w:p w14:paraId="00E12597" w14:textId="11530220" w:rsidR="0050148D" w:rsidRDefault="0050148D" w:rsidP="00773604">
      <w:pPr>
        <w:ind w:firstLine="708"/>
        <w:rPr>
          <w:rFonts w:cs="Calibri"/>
          <w:bCs/>
          <w:iCs/>
        </w:rPr>
      </w:pPr>
      <w:r>
        <w:rPr>
          <w:rFonts w:cs="Calibri"/>
          <w:bCs/>
          <w:iCs/>
        </w:rPr>
        <w:tab/>
      </w:r>
      <w:r w:rsidR="00781859">
        <w:rPr>
          <w:rFonts w:cs="Calibri"/>
          <w:bCs/>
          <w:iCs/>
        </w:rPr>
        <w:t xml:space="preserve">Le lezioni del </w:t>
      </w:r>
      <w:r>
        <w:rPr>
          <w:rFonts w:cs="Calibri"/>
          <w:bCs/>
          <w:iCs/>
        </w:rPr>
        <w:t>COVID-19</w:t>
      </w:r>
      <w:r w:rsidR="00331533">
        <w:rPr>
          <w:rFonts w:cs="Calibri"/>
          <w:bCs/>
          <w:iCs/>
        </w:rPr>
        <w:t xml:space="preserve"> per una salute globale</w:t>
      </w:r>
    </w:p>
    <w:p w14:paraId="586BD19E" w14:textId="77777777" w:rsidR="00E91D1D" w:rsidRDefault="00E91D1D" w:rsidP="00773604">
      <w:r>
        <w:t>La valutazione dei QALY</w:t>
      </w:r>
    </w:p>
    <w:p w14:paraId="3B558A58" w14:textId="77777777" w:rsidR="00E91D1D" w:rsidRDefault="00E91D1D" w:rsidP="00773604">
      <w:r>
        <w:t xml:space="preserve">Le malattie ambientali non trasmissibili </w:t>
      </w:r>
    </w:p>
    <w:p w14:paraId="5BA91F25" w14:textId="77777777" w:rsidR="00E91D1D" w:rsidRDefault="00E91D1D" w:rsidP="00773604">
      <w:r>
        <w:t>L’inquinamento atmosferico</w:t>
      </w:r>
    </w:p>
    <w:p w14:paraId="021CABBB" w14:textId="77777777" w:rsidR="00E91D1D" w:rsidRDefault="00E91D1D" w:rsidP="00773604">
      <w:r>
        <w:t>Il global warming</w:t>
      </w:r>
    </w:p>
    <w:p w14:paraId="38853CB3" w14:textId="6A7665E8" w:rsidR="00331533" w:rsidRDefault="00331533" w:rsidP="00773604">
      <w:r>
        <w:t>OGM</w:t>
      </w:r>
    </w:p>
    <w:p w14:paraId="20F4DDE2" w14:textId="77777777" w:rsidR="00E91D1D" w:rsidRDefault="00E91D1D" w:rsidP="00773604">
      <w:r w:rsidRPr="000721DD">
        <w:t xml:space="preserve">Alimentazione e salute </w:t>
      </w:r>
    </w:p>
    <w:p w14:paraId="6CF0DC60" w14:textId="77777777" w:rsidR="00E91D1D" w:rsidRDefault="00E91D1D" w:rsidP="00773604">
      <w:r w:rsidRPr="000721DD">
        <w:t xml:space="preserve">Lo stato nutrizionale </w:t>
      </w:r>
      <w:r>
        <w:t>nelle età della vita</w:t>
      </w:r>
    </w:p>
    <w:p w14:paraId="6F434556" w14:textId="77777777" w:rsidR="00E91D1D" w:rsidRDefault="00E91D1D" w:rsidP="00773604">
      <w:pPr>
        <w:ind w:firstLine="708"/>
      </w:pPr>
      <w:r>
        <w:t>La dieta nelle diverse età della vita</w:t>
      </w:r>
      <w:r w:rsidRPr="000721DD">
        <w:t xml:space="preserve">: principi generali. </w:t>
      </w:r>
    </w:p>
    <w:p w14:paraId="02C7D4D4" w14:textId="65A3A311" w:rsidR="00E91D1D" w:rsidRDefault="00E91D1D" w:rsidP="00773604">
      <w:pPr>
        <w:ind w:firstLine="708"/>
      </w:pPr>
      <w:r>
        <w:t xml:space="preserve">Il fabbisogno di carboidrati, proteine, </w:t>
      </w:r>
      <w:r w:rsidRPr="000721DD">
        <w:t>lipidi</w:t>
      </w:r>
      <w:r>
        <w:t xml:space="preserve">, </w:t>
      </w:r>
      <w:r w:rsidRPr="000721DD">
        <w:t>sali minerali</w:t>
      </w:r>
      <w:r>
        <w:t xml:space="preserve">, </w:t>
      </w:r>
      <w:r w:rsidR="00331533">
        <w:t>vitamine</w:t>
      </w:r>
    </w:p>
    <w:p w14:paraId="473C81BC" w14:textId="77777777" w:rsidR="00E91D1D" w:rsidRDefault="00E91D1D" w:rsidP="00773604">
      <w:pPr>
        <w:ind w:firstLine="708"/>
      </w:pPr>
      <w:r>
        <w:t>I liquidi nell’</w:t>
      </w:r>
      <w:r w:rsidRPr="000721DD">
        <w:t xml:space="preserve">alimentazione. </w:t>
      </w:r>
    </w:p>
    <w:p w14:paraId="7749F664" w14:textId="77777777" w:rsidR="00E91D1D" w:rsidRDefault="00E91D1D" w:rsidP="00773604">
      <w:pPr>
        <w:ind w:firstLine="708"/>
      </w:pPr>
      <w:r w:rsidRPr="000721DD">
        <w:t>La valutazione dello stato nutrizionale</w:t>
      </w:r>
      <w:r>
        <w:t xml:space="preserve"> e la</w:t>
      </w:r>
      <w:r w:rsidRPr="008F15E3">
        <w:t xml:space="preserve"> </w:t>
      </w:r>
      <w:r w:rsidRPr="000721DD">
        <w:t xml:space="preserve">malnutrizione </w:t>
      </w:r>
    </w:p>
    <w:p w14:paraId="4BFE43A5" w14:textId="77777777" w:rsidR="00E91D1D" w:rsidRDefault="00E91D1D" w:rsidP="00773604">
      <w:pPr>
        <w:ind w:firstLine="708"/>
      </w:pPr>
      <w:r w:rsidRPr="000721DD">
        <w:lastRenderedPageBreak/>
        <w:t xml:space="preserve">Le fibre alimentari. </w:t>
      </w:r>
    </w:p>
    <w:p w14:paraId="51B3B8BD" w14:textId="6D8A480A" w:rsidR="00331533" w:rsidRDefault="00331533" w:rsidP="00773604">
      <w:pPr>
        <w:ind w:firstLine="708"/>
      </w:pPr>
      <w:r>
        <w:t>L’alcool</w:t>
      </w:r>
    </w:p>
    <w:p w14:paraId="6CFAA7AF" w14:textId="66FFCEBF" w:rsidR="00331533" w:rsidRDefault="00331533" w:rsidP="00773604">
      <w:pPr>
        <w:ind w:firstLine="708"/>
      </w:pPr>
      <w:r>
        <w:t>Dieta e religioni</w:t>
      </w:r>
    </w:p>
    <w:p w14:paraId="6AC56BF0" w14:textId="77777777" w:rsidR="00E91D1D" w:rsidRPr="00BD13E2" w:rsidRDefault="00E91D1D" w:rsidP="00773604">
      <w:pPr>
        <w:ind w:firstLine="708"/>
      </w:pPr>
      <w:r>
        <w:t>L’</w:t>
      </w:r>
      <w:r w:rsidRPr="000721DD">
        <w:t>alimentazione nelle diverse situazioni ambientali.</w:t>
      </w:r>
    </w:p>
    <w:p w14:paraId="32CAC9A7" w14:textId="77777777" w:rsidR="00E91D1D" w:rsidRDefault="00E91D1D" w:rsidP="00773604">
      <w:r>
        <w:t>Obesità e sovrappeso</w:t>
      </w:r>
    </w:p>
    <w:p w14:paraId="28A6E210" w14:textId="61D8404B" w:rsidR="00E91D1D" w:rsidRDefault="00E91D1D" w:rsidP="00773604">
      <w:r>
        <w:t>L’inattività fisica</w:t>
      </w:r>
    </w:p>
    <w:p w14:paraId="402777C1" w14:textId="452A0047" w:rsidR="00916F30" w:rsidRDefault="00916F30" w:rsidP="00773604"/>
    <w:p w14:paraId="77598379" w14:textId="4015B770" w:rsidR="00916F30" w:rsidRPr="00916F30" w:rsidRDefault="00916F30" w:rsidP="00773604">
      <w:r w:rsidRPr="00916F30">
        <w:t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253B43D9" w14:textId="77777777" w:rsidR="00E91D1D" w:rsidRDefault="00E91D1D" w:rsidP="00E91D1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DA6B2F9" w14:textId="14149A9F" w:rsidR="00E91D1D" w:rsidRDefault="00E91D1D" w:rsidP="00E91D1D">
      <w:pPr>
        <w:spacing w:line="240" w:lineRule="auto"/>
        <w:rPr>
          <w:sz w:val="18"/>
        </w:rPr>
      </w:pPr>
      <w:r w:rsidRPr="00E91D1D">
        <w:rPr>
          <w:smallCaps/>
          <w:sz w:val="16"/>
        </w:rPr>
        <w:t>Renzo Rozzini, Angelo Bianchetti, Marco Trabucchi</w:t>
      </w:r>
      <w:r w:rsidRPr="00E91D1D">
        <w:rPr>
          <w:i/>
        </w:rPr>
        <w:t xml:space="preserve">. </w:t>
      </w:r>
      <w:r w:rsidRPr="00187315">
        <w:rPr>
          <w:i/>
          <w:sz w:val="18"/>
        </w:rPr>
        <w:t>Medicina della fragilità: manuale di lavoro</w:t>
      </w:r>
      <w:r w:rsidR="00903565">
        <w:rPr>
          <w:sz w:val="18"/>
        </w:rPr>
        <w:t xml:space="preserve">, </w:t>
      </w:r>
      <w:r w:rsidRPr="00187315">
        <w:rPr>
          <w:sz w:val="18"/>
        </w:rPr>
        <w:t>Vita e Pensiero, Milano, 2014</w:t>
      </w:r>
      <w:r w:rsidR="00FB0F62">
        <w:rPr>
          <w:sz w:val="18"/>
        </w:rPr>
        <w:t xml:space="preserve"> </w:t>
      </w:r>
      <w:hyperlink r:id="rId6" w:history="1">
        <w:r w:rsidR="00FB0F62" w:rsidRPr="00FB0F62">
          <w:rPr>
            <w:rStyle w:val="Collegamentoipertestuale"/>
            <w:sz w:val="18"/>
          </w:rPr>
          <w:t>Acquista da V&amp;P</w:t>
        </w:r>
      </w:hyperlink>
      <w:bookmarkStart w:id="0" w:name="_GoBack"/>
      <w:bookmarkEnd w:id="0"/>
    </w:p>
    <w:p w14:paraId="2F2CDDD0" w14:textId="77777777" w:rsidR="00E91D1D" w:rsidRDefault="00E91D1D" w:rsidP="00E91D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E6BA068" w14:textId="5C591DC7" w:rsidR="00C177D2" w:rsidRPr="00C177D2" w:rsidRDefault="00E91D1D" w:rsidP="00916F30">
      <w:pPr>
        <w:pStyle w:val="Testo2"/>
      </w:pPr>
      <w:r>
        <w:t>Lezioni in aula, lavoro in laboratorio</w:t>
      </w:r>
    </w:p>
    <w:p w14:paraId="51F55E9E" w14:textId="77777777" w:rsidR="00E91D1D" w:rsidRDefault="00E91D1D" w:rsidP="00E91D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D3BAD03" w14:textId="77777777" w:rsidR="00E91D1D" w:rsidRPr="00F15339" w:rsidRDefault="00E91D1D" w:rsidP="00F15339">
      <w:pPr>
        <w:rPr>
          <w:sz w:val="18"/>
          <w:szCs w:val="18"/>
        </w:rPr>
      </w:pPr>
      <w:r w:rsidRPr="00F15339">
        <w:rPr>
          <w:sz w:val="18"/>
          <w:szCs w:val="18"/>
        </w:rPr>
        <w:t>L’esame consta di due parti: a) esame scritti e orali (l’esame scritto fa riferimento alla prova in forma di test di apprendimento: 30 domande con unica risposta) integrato da prova orale b) solo esame orale per chi non desideri sostenere la prova scritta.</w:t>
      </w:r>
    </w:p>
    <w:p w14:paraId="05692F39" w14:textId="77777777" w:rsidR="00865784" w:rsidRPr="00F15339" w:rsidRDefault="00865784" w:rsidP="00F15339">
      <w:pPr>
        <w:rPr>
          <w:sz w:val="18"/>
          <w:szCs w:val="18"/>
        </w:rPr>
      </w:pPr>
      <w:r w:rsidRPr="00F15339">
        <w:rPr>
          <w:sz w:val="18"/>
          <w:szCs w:val="18"/>
        </w:rPr>
        <w:t>La calendarizzazione della prova scritta sarà comunicata sulla pagina web del docente. La valutazione positiva in sede d’esame è subordinata al superamento del laboratorio.</w:t>
      </w:r>
    </w:p>
    <w:p w14:paraId="2F455D19" w14:textId="77777777" w:rsidR="00A92458" w:rsidRPr="00F15339" w:rsidRDefault="00442017" w:rsidP="00F15339">
      <w:pPr>
        <w:tabs>
          <w:tab w:val="clear" w:pos="284"/>
        </w:tabs>
        <w:rPr>
          <w:rFonts w:cs="Calibri"/>
          <w:color w:val="000000" w:themeColor="text1"/>
          <w:sz w:val="18"/>
          <w:szCs w:val="18"/>
          <w:bdr w:val="none" w:sz="0" w:space="0" w:color="auto" w:frame="1"/>
        </w:rPr>
      </w:pPr>
      <w:r w:rsidRPr="00F15339">
        <w:rPr>
          <w:noProof/>
          <w:sz w:val="18"/>
          <w:szCs w:val="18"/>
        </w:rPr>
        <w:t>La prova d’esame per il conseguimento dei CFU comporterà un colloquio di analisi e rielaborazione critica dei contenuti con il docente e la valutazione delle attività laboratoriali previste dal corso</w:t>
      </w:r>
      <w:r w:rsidR="00A92458" w:rsidRPr="00F15339">
        <w:rPr>
          <w:noProof/>
          <w:color w:val="FF0000"/>
          <w:sz w:val="18"/>
          <w:szCs w:val="18"/>
        </w:rPr>
        <w:t xml:space="preserve">. </w:t>
      </w:r>
      <w:r w:rsidR="00A92458" w:rsidRPr="00F15339">
        <w:rPr>
          <w:rFonts w:cs="Calibri"/>
          <w:color w:val="000000" w:themeColor="text1"/>
          <w:sz w:val="18"/>
          <w:szCs w:val="18"/>
          <w:bdr w:val="none" w:sz="0" w:space="0" w:color="auto" w:frame="1"/>
        </w:rPr>
        <w:t>Ai fini della valutazione concorreranno la pertinenza delle risposte, l’uso appropriato della terminologia specifica, la strutturazione argomentata e coerente del discorso, la capacità di individuare nessi concettuali e questioni aperte. La valutazione complessiva terrà conto della padronanza manifestata dallo studente in ordine ai suddetti livelli di classificazione.</w:t>
      </w:r>
    </w:p>
    <w:p w14:paraId="13115530" w14:textId="77777777" w:rsidR="00A92458" w:rsidRPr="00F15339" w:rsidRDefault="00A92458" w:rsidP="00F15339">
      <w:pPr>
        <w:tabs>
          <w:tab w:val="clear" w:pos="284"/>
        </w:tabs>
        <w:rPr>
          <w:rFonts w:ascii="Times New Roman" w:hAnsi="Times New Roman"/>
          <w:sz w:val="18"/>
          <w:szCs w:val="18"/>
        </w:rPr>
      </w:pPr>
      <w:r w:rsidRPr="00F15339">
        <w:rPr>
          <w:sz w:val="18"/>
          <w:szCs w:val="18"/>
        </w:rPr>
        <w:t>L’accesso all’esame è subordinato alla frequenza e al superamento del Laboratorio.</w:t>
      </w:r>
    </w:p>
    <w:p w14:paraId="1AFDC265" w14:textId="77777777" w:rsidR="00E91D1D" w:rsidRDefault="00187315" w:rsidP="001873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41759C3" w14:textId="77777777" w:rsidR="00865784" w:rsidRDefault="00865784" w:rsidP="005B3A75">
      <w:pPr>
        <w:spacing w:after="120"/>
        <w:rPr>
          <w:sz w:val="18"/>
        </w:rPr>
      </w:pPr>
      <w:r>
        <w:rPr>
          <w:sz w:val="18"/>
        </w:rPr>
        <w:t>Dato il carattere introduttivo alla disciplina, il corso non necessita di prerequisiti.</w:t>
      </w:r>
    </w:p>
    <w:p w14:paraId="5EDB42BD" w14:textId="77777777" w:rsidR="00D25989" w:rsidRDefault="00D25989" w:rsidP="00D25989">
      <w:pPr>
        <w:pStyle w:val="Testo2"/>
        <w:spacing w:line="240" w:lineRule="exact"/>
        <w:ind w:firstLine="0"/>
        <w:rPr>
          <w:b/>
          <w:bCs/>
          <w:i/>
          <w:iCs/>
          <w:szCs w:val="18"/>
        </w:rPr>
      </w:pPr>
    </w:p>
    <w:p w14:paraId="2EDC7E65" w14:textId="77777777" w:rsidR="00865784" w:rsidRPr="00773604" w:rsidRDefault="00773604" w:rsidP="00187315">
      <w:pPr>
        <w:spacing w:before="240" w:after="120"/>
        <w:rPr>
          <w:i/>
          <w:sz w:val="18"/>
        </w:rPr>
      </w:pPr>
      <w:r w:rsidRPr="00773604">
        <w:rPr>
          <w:i/>
          <w:sz w:val="18"/>
        </w:rPr>
        <w:t>Orario e lu</w:t>
      </w:r>
      <w:r>
        <w:rPr>
          <w:i/>
          <w:sz w:val="18"/>
        </w:rPr>
        <w:t>ogo di ricevimento degli studenti</w:t>
      </w:r>
    </w:p>
    <w:p w14:paraId="5BE9BE09" w14:textId="77777777" w:rsidR="00187315" w:rsidRPr="00916F30" w:rsidRDefault="00187315" w:rsidP="00F15339">
      <w:pPr>
        <w:rPr>
          <w:sz w:val="18"/>
          <w:szCs w:val="18"/>
        </w:rPr>
      </w:pPr>
      <w:r w:rsidRPr="00916F30">
        <w:rPr>
          <w:sz w:val="18"/>
          <w:szCs w:val="18"/>
        </w:rPr>
        <w:t>Il prof. Rozzini comunicherà successivamente l’orario di ricevimento per gli studenti</w:t>
      </w:r>
      <w:r w:rsidR="007A1CAB" w:rsidRPr="00916F30">
        <w:rPr>
          <w:sz w:val="18"/>
          <w:szCs w:val="18"/>
        </w:rPr>
        <w:t xml:space="preserve"> sua pagina web</w:t>
      </w:r>
      <w:r w:rsidRPr="00916F30">
        <w:rPr>
          <w:sz w:val="18"/>
          <w:szCs w:val="18"/>
        </w:rPr>
        <w:t>.</w:t>
      </w:r>
    </w:p>
    <w:p w14:paraId="312C34D7" w14:textId="77777777" w:rsidR="00187315" w:rsidRPr="00187315" w:rsidRDefault="00187315" w:rsidP="00187315">
      <w:pPr>
        <w:pStyle w:val="Testo2"/>
      </w:pPr>
    </w:p>
    <w:p w14:paraId="07F3E038" w14:textId="77777777" w:rsidR="00E91D1D" w:rsidRPr="00E91D1D" w:rsidRDefault="00E91D1D" w:rsidP="00E91D1D">
      <w:pPr>
        <w:pStyle w:val="Testo2"/>
      </w:pPr>
    </w:p>
    <w:p w14:paraId="31ED7C17" w14:textId="77777777" w:rsidR="00E91D1D" w:rsidRPr="00E91D1D" w:rsidRDefault="00E91D1D" w:rsidP="00E91D1D">
      <w:pPr>
        <w:spacing w:before="240" w:after="120" w:line="220" w:lineRule="exact"/>
        <w:rPr>
          <w:b/>
          <w:i/>
          <w:sz w:val="18"/>
        </w:rPr>
      </w:pPr>
    </w:p>
    <w:p w14:paraId="7EBE5D96" w14:textId="77777777" w:rsidR="00E91D1D" w:rsidRPr="00E91D1D" w:rsidRDefault="00E91D1D" w:rsidP="00E91D1D"/>
    <w:sectPr w:rsidR="00E91D1D" w:rsidRPr="00E91D1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FC50B" w14:textId="77777777" w:rsidR="004F30C0" w:rsidRDefault="004F30C0" w:rsidP="00773604">
      <w:pPr>
        <w:spacing w:line="240" w:lineRule="auto"/>
      </w:pPr>
      <w:r>
        <w:separator/>
      </w:r>
    </w:p>
  </w:endnote>
  <w:endnote w:type="continuationSeparator" w:id="0">
    <w:p w14:paraId="334069AD" w14:textId="77777777" w:rsidR="004F30C0" w:rsidRDefault="004F30C0" w:rsidP="00773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93E86" w14:textId="77777777" w:rsidR="004F30C0" w:rsidRDefault="004F30C0" w:rsidP="00773604">
      <w:pPr>
        <w:spacing w:line="240" w:lineRule="auto"/>
      </w:pPr>
      <w:r>
        <w:separator/>
      </w:r>
    </w:p>
  </w:footnote>
  <w:footnote w:type="continuationSeparator" w:id="0">
    <w:p w14:paraId="7B7E52EA" w14:textId="77777777" w:rsidR="004F30C0" w:rsidRDefault="004F30C0" w:rsidP="007736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D"/>
    <w:rsid w:val="00027801"/>
    <w:rsid w:val="000628B5"/>
    <w:rsid w:val="00187315"/>
    <w:rsid w:val="002E3FF5"/>
    <w:rsid w:val="002E5F60"/>
    <w:rsid w:val="00331533"/>
    <w:rsid w:val="00442017"/>
    <w:rsid w:val="00466E70"/>
    <w:rsid w:val="004F30C0"/>
    <w:rsid w:val="0050148D"/>
    <w:rsid w:val="00507E45"/>
    <w:rsid w:val="005B3A75"/>
    <w:rsid w:val="005F6D6C"/>
    <w:rsid w:val="006C1FB5"/>
    <w:rsid w:val="00773604"/>
    <w:rsid w:val="00781859"/>
    <w:rsid w:val="007A1CAB"/>
    <w:rsid w:val="007F5841"/>
    <w:rsid w:val="00865784"/>
    <w:rsid w:val="008D5D3F"/>
    <w:rsid w:val="008F0373"/>
    <w:rsid w:val="00903565"/>
    <w:rsid w:val="00916F30"/>
    <w:rsid w:val="009C29C6"/>
    <w:rsid w:val="00A92458"/>
    <w:rsid w:val="00C177D2"/>
    <w:rsid w:val="00D25989"/>
    <w:rsid w:val="00E91D1D"/>
    <w:rsid w:val="00F15339"/>
    <w:rsid w:val="00F60597"/>
    <w:rsid w:val="00FB0F62"/>
    <w:rsid w:val="00FB5B05"/>
    <w:rsid w:val="00FC2383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76087"/>
  <w15:docId w15:val="{3452FC7A-772E-4ABB-BBB0-93C17AB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0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7360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04"/>
    <w:rPr>
      <w:rFonts w:ascii="Times" w:hAnsi="Times"/>
    </w:rPr>
  </w:style>
  <w:style w:type="character" w:customStyle="1" w:styleId="apple-converted-space">
    <w:name w:val="apple-converted-space"/>
    <w:basedOn w:val="Carpredefinitoparagrafo"/>
    <w:rsid w:val="00A92458"/>
  </w:style>
  <w:style w:type="character" w:styleId="Collegamentoipertestuale">
    <w:name w:val="Hyperlink"/>
    <w:basedOn w:val="Carpredefinitoparagrafo"/>
    <w:uiPriority w:val="99"/>
    <w:unhideWhenUsed/>
    <w:rsid w:val="00FB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utori-vari/medicina-della-fragilita-manuale-di-lavoro-9788834324738-214045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3471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3</cp:revision>
  <cp:lastPrinted>2003-03-27T10:42:00Z</cp:lastPrinted>
  <dcterms:created xsi:type="dcterms:W3CDTF">2022-05-16T08:04:00Z</dcterms:created>
  <dcterms:modified xsi:type="dcterms:W3CDTF">2023-01-11T15:39:00Z</dcterms:modified>
</cp:coreProperties>
</file>