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572B" w14:textId="73EAAD3B" w:rsidR="009C29C6" w:rsidRDefault="007D6808" w:rsidP="00431CCC">
      <w:pPr>
        <w:pStyle w:val="Titolo1"/>
        <w:spacing w:line="240" w:lineRule="auto"/>
        <w:contextualSpacing/>
      </w:pPr>
      <w:r>
        <w:t>Metodologia della ricerca psicologica 1</w:t>
      </w:r>
      <w:r w:rsidR="006205C0">
        <w:t xml:space="preserve"> </w:t>
      </w:r>
    </w:p>
    <w:p w14:paraId="5DABEF9A" w14:textId="616DCA2D" w:rsidR="007D6808" w:rsidRDefault="00A56B59" w:rsidP="006E4782">
      <w:pPr>
        <w:pStyle w:val="Titolo2"/>
      </w:pPr>
      <w:r>
        <w:t>Prof.ss</w:t>
      </w:r>
      <w:r w:rsidR="00400728">
        <w:t>A</w:t>
      </w:r>
      <w:r>
        <w:t xml:space="preserve"> </w:t>
      </w:r>
      <w:r w:rsidR="0032144F">
        <w:t>M</w:t>
      </w:r>
      <w:r w:rsidR="0032144F" w:rsidRPr="0032144F">
        <w:rPr>
          <w:sz w:val="13"/>
          <w:szCs w:val="15"/>
        </w:rPr>
        <w:t>ICHELA</w:t>
      </w:r>
      <w:r w:rsidR="0032144F">
        <w:t xml:space="preserve"> </w:t>
      </w:r>
      <w:r>
        <w:t>Z</w:t>
      </w:r>
      <w:r w:rsidR="0032144F">
        <w:rPr>
          <w:sz w:val="13"/>
          <w:szCs w:val="13"/>
        </w:rPr>
        <w:t>A</w:t>
      </w:r>
      <w:r w:rsidRPr="0032144F">
        <w:rPr>
          <w:sz w:val="13"/>
          <w:szCs w:val="13"/>
        </w:rPr>
        <w:t>MBELLI</w:t>
      </w:r>
      <w:r w:rsidR="006E4782">
        <w:rPr>
          <w:sz w:val="13"/>
          <w:szCs w:val="13"/>
        </w:rPr>
        <w:t xml:space="preserve"> - </w:t>
      </w:r>
      <w:r w:rsidR="007D6808">
        <w:t>Prof.ssa Semira Tagliabue</w:t>
      </w:r>
    </w:p>
    <w:p w14:paraId="2813BEC3" w14:textId="77777777" w:rsidR="007D6808" w:rsidRDefault="007D6808" w:rsidP="007D6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8A1430" w14:textId="4BF20FFE" w:rsidR="007D6808" w:rsidRPr="007D6808" w:rsidRDefault="007D6808" w:rsidP="007D6808">
      <w:r w:rsidRPr="007D6808">
        <w:t>Il corso si pone l</w:t>
      </w:r>
      <w:r w:rsidR="006E4782">
        <w:t>’</w:t>
      </w:r>
      <w:r w:rsidRPr="007D6808">
        <w:t>obiettivo di fornire agli studenti le conoscenze di base in merito al processo di ricerca scientifica. In particolare</w:t>
      </w:r>
      <w:r w:rsidR="00983145">
        <w:t xml:space="preserve">, </w:t>
      </w:r>
      <w:r w:rsidRPr="007D6808">
        <w:t>verranno presi in considerazione gli snodi critici della progettazione della ricerca psicologica con attenzione particolare al</w:t>
      </w:r>
      <w:r w:rsidR="00922352">
        <w:t>la comunicazione scientifica, al</w:t>
      </w:r>
      <w:r w:rsidRPr="007D6808">
        <w:t xml:space="preserve"> ciclo della ricerca</w:t>
      </w:r>
      <w:r w:rsidR="00922352">
        <w:t>, alla misurazione e all’etica</w:t>
      </w:r>
      <w:r w:rsidRPr="007D6808">
        <w:t xml:space="preserve">. Saranno inoltre </w:t>
      </w:r>
      <w:r w:rsidR="00922352">
        <w:t xml:space="preserve">affrontate le principali analisi di </w:t>
      </w:r>
      <w:r w:rsidRPr="007D6808">
        <w:t>statistica descrittiva.</w:t>
      </w:r>
    </w:p>
    <w:p w14:paraId="043524A5" w14:textId="77777777" w:rsidR="007D6808" w:rsidRPr="007D6808" w:rsidRDefault="007D6808" w:rsidP="007D6808">
      <w:r w:rsidRPr="007D6808">
        <w:t>Al termine dell'insegnamento, lo studente dovrà:</w:t>
      </w:r>
    </w:p>
    <w:p w14:paraId="05CB920E" w14:textId="1E423860" w:rsidR="007D6808" w:rsidRPr="007D6808" w:rsidRDefault="007D6808" w:rsidP="008D3BEB">
      <w:pPr>
        <w:numPr>
          <w:ilvl w:val="0"/>
          <w:numId w:val="3"/>
        </w:numPr>
      </w:pPr>
      <w:r w:rsidRPr="007D6808">
        <w:t>conoscere e comprendere i concetti di base della metodologia della ricerca: ciclo della ricerca, obiettivi,</w:t>
      </w:r>
      <w:r w:rsidR="00C00816">
        <w:t xml:space="preserve"> ipotesi,</w:t>
      </w:r>
      <w:r w:rsidRPr="007D6808">
        <w:t xml:space="preserve"> misurazione, etica, comunicazione. </w:t>
      </w:r>
    </w:p>
    <w:p w14:paraId="6DAEDAD5" w14:textId="0259D5BB" w:rsidR="007D6808" w:rsidRPr="007D6808" w:rsidRDefault="007D6808" w:rsidP="008D3BEB">
      <w:pPr>
        <w:numPr>
          <w:ilvl w:val="0"/>
          <w:numId w:val="3"/>
        </w:numPr>
      </w:pPr>
      <w:r w:rsidRPr="007D6808">
        <w:t>saper applicare tali conoscenze, in particolare leggendo e analizzando criticamente gli articoli scientifici</w:t>
      </w:r>
      <w:r w:rsidR="00014A25">
        <w:t xml:space="preserve"> </w:t>
      </w:r>
    </w:p>
    <w:p w14:paraId="680DFC9C" w14:textId="19272B55" w:rsidR="007D6808" w:rsidRPr="007D6808" w:rsidRDefault="007D6808" w:rsidP="008D3BEB">
      <w:pPr>
        <w:numPr>
          <w:ilvl w:val="0"/>
          <w:numId w:val="3"/>
        </w:numPr>
      </w:pPr>
      <w:r w:rsidRPr="007D6808">
        <w:t>saper analizzare dei dati attraverso la statistica descrittiva, produrre e interpretare tabelle e grafici</w:t>
      </w:r>
      <w:r w:rsidR="00014A25">
        <w:t xml:space="preserve"> in Excel</w:t>
      </w:r>
      <w:r w:rsidRPr="007D6808">
        <w:t xml:space="preserve">. </w:t>
      </w:r>
    </w:p>
    <w:p w14:paraId="7BA0E7C7" w14:textId="77777777" w:rsidR="007D6808" w:rsidRDefault="007D6808" w:rsidP="007D6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E811AA" w14:textId="38ABED6D" w:rsidR="00014A25" w:rsidRPr="004D3D9F" w:rsidRDefault="00014A25" w:rsidP="00014A25">
      <w:pPr>
        <w:rPr>
          <w:rFonts w:cs="Times"/>
          <w:iCs/>
          <w:u w:val="single"/>
        </w:rPr>
      </w:pPr>
      <w:r w:rsidRPr="004D3D9F">
        <w:rPr>
          <w:rFonts w:cs="Times"/>
          <w:iCs/>
          <w:u w:val="single"/>
        </w:rPr>
        <w:t>Unit</w:t>
      </w:r>
      <w:r w:rsidR="004D3D9F">
        <w:rPr>
          <w:rFonts w:cs="Times"/>
          <w:iCs/>
          <w:u w:val="single"/>
        </w:rPr>
        <w:t>à</w:t>
      </w:r>
      <w:r w:rsidRPr="004D3D9F">
        <w:rPr>
          <w:rFonts w:cs="Times"/>
          <w:iCs/>
          <w:u w:val="single"/>
        </w:rPr>
        <w:t xml:space="preserve"> 1: </w:t>
      </w:r>
      <w:r w:rsidR="004D3D9F" w:rsidRPr="004D3D9F">
        <w:rPr>
          <w:rFonts w:cs="Times"/>
          <w:iCs/>
          <w:u w:val="single"/>
        </w:rPr>
        <w:t>La psicologia come discip</w:t>
      </w:r>
      <w:r w:rsidR="004D3D9F">
        <w:rPr>
          <w:rFonts w:cs="Times"/>
          <w:iCs/>
          <w:u w:val="single"/>
        </w:rPr>
        <w:t>lina scientifica</w:t>
      </w:r>
    </w:p>
    <w:p w14:paraId="1FFA9C06" w14:textId="57679727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1.1 </w:t>
      </w:r>
      <w:r w:rsidR="004D3D9F">
        <w:rPr>
          <w:rFonts w:ascii="Times" w:hAnsi="Times" w:cs="Times"/>
        </w:rPr>
        <w:t>Metodi di conoscenza</w:t>
      </w:r>
    </w:p>
    <w:p w14:paraId="6C404FEB" w14:textId="5424D43E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1.2 </w:t>
      </w:r>
      <w:r w:rsidR="004D3D9F">
        <w:rPr>
          <w:rFonts w:ascii="Times" w:hAnsi="Times" w:cs="Times"/>
        </w:rPr>
        <w:t>Comunicazione scientifica e non scientifica</w:t>
      </w:r>
    </w:p>
    <w:p w14:paraId="42C73207" w14:textId="77777777" w:rsidR="00C94156" w:rsidRPr="002E7C92" w:rsidRDefault="00014A25" w:rsidP="00C94156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1.3 </w:t>
      </w:r>
      <w:r w:rsidR="0084374D">
        <w:rPr>
          <w:rFonts w:ascii="Times" w:hAnsi="Times" w:cs="Times"/>
        </w:rPr>
        <w:t>Cercare e l</w:t>
      </w:r>
      <w:r w:rsidR="004D3D9F">
        <w:rPr>
          <w:rFonts w:ascii="Times" w:hAnsi="Times" w:cs="Times"/>
        </w:rPr>
        <w:t>eggere la ricerca scientifica</w:t>
      </w:r>
    </w:p>
    <w:p w14:paraId="4A231EE2" w14:textId="77777777" w:rsidR="00C94156" w:rsidRPr="002E7C92" w:rsidRDefault="006E64F2" w:rsidP="00C94156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C94156">
        <w:rPr>
          <w:rFonts w:cs="Times"/>
        </w:rPr>
        <w:t>1.4 Le sezioni degli articoli scientifici</w:t>
      </w:r>
    </w:p>
    <w:p w14:paraId="248A85D2" w14:textId="32D59363" w:rsidR="006E64F2" w:rsidRPr="00C94156" w:rsidRDefault="006E64F2" w:rsidP="00C94156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C94156">
        <w:rPr>
          <w:rFonts w:cs="Times"/>
        </w:rPr>
        <w:t>1.5 Tipi di comunicazione</w:t>
      </w:r>
    </w:p>
    <w:p w14:paraId="372BA39B" w14:textId="77777777" w:rsidR="00014A25" w:rsidRPr="006E64F2" w:rsidRDefault="00014A25" w:rsidP="006E64F2">
      <w:pPr>
        <w:rPr>
          <w:rFonts w:cs="Times"/>
        </w:rPr>
      </w:pPr>
    </w:p>
    <w:p w14:paraId="2030502C" w14:textId="0DBE0F4F" w:rsidR="00014A25" w:rsidRPr="002E7C92" w:rsidRDefault="00014A25" w:rsidP="00014A25">
      <w:pPr>
        <w:rPr>
          <w:rFonts w:cs="Times"/>
          <w:iCs/>
          <w:u w:val="single"/>
        </w:rPr>
      </w:pPr>
      <w:r w:rsidRPr="002E7C92">
        <w:rPr>
          <w:rFonts w:cs="Times"/>
          <w:iCs/>
          <w:u w:val="single"/>
        </w:rPr>
        <w:t>Unit</w:t>
      </w:r>
      <w:r w:rsidR="004D3D9F">
        <w:rPr>
          <w:rFonts w:cs="Times"/>
          <w:iCs/>
          <w:u w:val="single"/>
        </w:rPr>
        <w:t xml:space="preserve">à </w:t>
      </w:r>
      <w:r w:rsidRPr="002E7C92">
        <w:rPr>
          <w:rFonts w:cs="Times"/>
          <w:iCs/>
          <w:u w:val="single"/>
        </w:rPr>
        <w:t xml:space="preserve">2: </w:t>
      </w:r>
      <w:r w:rsidR="004D3D9F">
        <w:rPr>
          <w:rFonts w:cs="Times"/>
          <w:iCs/>
          <w:u w:val="single"/>
        </w:rPr>
        <w:t>Il metodo scientifico</w:t>
      </w:r>
    </w:p>
    <w:p w14:paraId="788059CF" w14:textId="308DBAB0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2.1 </w:t>
      </w:r>
      <w:r w:rsidR="004D3D9F">
        <w:rPr>
          <w:rFonts w:ascii="Times" w:hAnsi="Times" w:cs="Times"/>
        </w:rPr>
        <w:t>Il ciclo della ricerca</w:t>
      </w:r>
    </w:p>
    <w:p w14:paraId="6F025262" w14:textId="5A744E90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2.2 </w:t>
      </w:r>
      <w:r w:rsidR="004D3D9F">
        <w:rPr>
          <w:rFonts w:ascii="Times" w:hAnsi="Times" w:cs="Times"/>
        </w:rPr>
        <w:t>Obiettivi della ricerca</w:t>
      </w:r>
    </w:p>
    <w:p w14:paraId="471F60ED" w14:textId="241CF8B2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2.3 </w:t>
      </w:r>
      <w:r w:rsidR="004D3D9F">
        <w:rPr>
          <w:rFonts w:ascii="Times" w:hAnsi="Times" w:cs="Times"/>
        </w:rPr>
        <w:t>Le ipotesi di ricerca</w:t>
      </w:r>
    </w:p>
    <w:p w14:paraId="0566C483" w14:textId="77777777" w:rsidR="004D3D9F" w:rsidRDefault="004D3D9F" w:rsidP="004D3D9F">
      <w:pPr>
        <w:rPr>
          <w:rFonts w:cs="Times"/>
          <w:iCs/>
          <w:u w:val="single"/>
        </w:rPr>
      </w:pPr>
    </w:p>
    <w:p w14:paraId="0CF91326" w14:textId="4683FFCD" w:rsidR="00014A25" w:rsidRPr="004D3D9F" w:rsidRDefault="00014A25" w:rsidP="004D3D9F">
      <w:pPr>
        <w:rPr>
          <w:rFonts w:cs="Times"/>
          <w:iCs/>
          <w:u w:val="single"/>
        </w:rPr>
      </w:pPr>
      <w:r w:rsidRPr="004D3D9F">
        <w:rPr>
          <w:rFonts w:cs="Times"/>
          <w:iCs/>
          <w:u w:val="single"/>
        </w:rPr>
        <w:t>Unit</w:t>
      </w:r>
      <w:r w:rsidR="004D3D9F">
        <w:rPr>
          <w:rFonts w:cs="Times"/>
          <w:iCs/>
          <w:u w:val="single"/>
        </w:rPr>
        <w:t>à</w:t>
      </w:r>
      <w:r w:rsidRPr="004D3D9F">
        <w:rPr>
          <w:rFonts w:cs="Times"/>
          <w:iCs/>
          <w:u w:val="single"/>
        </w:rPr>
        <w:t xml:space="preserve"> 3: </w:t>
      </w:r>
      <w:r w:rsidR="004D3D9F">
        <w:rPr>
          <w:rFonts w:cs="Times"/>
          <w:iCs/>
          <w:u w:val="single"/>
        </w:rPr>
        <w:t>La misurazione i</w:t>
      </w:r>
      <w:r w:rsidR="006E64F2">
        <w:rPr>
          <w:rFonts w:cs="Times"/>
          <w:iCs/>
          <w:u w:val="single"/>
        </w:rPr>
        <w:t>n</w:t>
      </w:r>
      <w:r w:rsidR="004D3D9F">
        <w:rPr>
          <w:rFonts w:cs="Times"/>
          <w:iCs/>
          <w:u w:val="single"/>
        </w:rPr>
        <w:t xml:space="preserve"> psicologia</w:t>
      </w:r>
    </w:p>
    <w:p w14:paraId="4A605CFD" w14:textId="02A7DC7D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3.1 </w:t>
      </w:r>
      <w:r w:rsidR="004D3D9F">
        <w:rPr>
          <w:rFonts w:ascii="Times" w:hAnsi="Times" w:cs="Times"/>
        </w:rPr>
        <w:t>Il concetto di variabile</w:t>
      </w:r>
    </w:p>
    <w:p w14:paraId="6DDC3AFC" w14:textId="18202AF7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3.2 </w:t>
      </w:r>
      <w:r w:rsidR="004D3D9F">
        <w:rPr>
          <w:rFonts w:ascii="Times" w:hAnsi="Times" w:cs="Times"/>
        </w:rPr>
        <w:t>La classificazione delle variabili</w:t>
      </w:r>
    </w:p>
    <w:p w14:paraId="34CFD706" w14:textId="2486898E" w:rsidR="00014A25" w:rsidRPr="00184980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iCs/>
          <w:u w:val="single"/>
        </w:rPr>
      </w:pPr>
      <w:r w:rsidRPr="002E7C92">
        <w:rPr>
          <w:rFonts w:ascii="Times" w:hAnsi="Times" w:cs="Times"/>
        </w:rPr>
        <w:t xml:space="preserve">3.3 </w:t>
      </w:r>
      <w:r w:rsidR="004D3D9F">
        <w:rPr>
          <w:rFonts w:ascii="Times" w:hAnsi="Times" w:cs="Times"/>
        </w:rPr>
        <w:t xml:space="preserve">Le scale di misurazione </w:t>
      </w:r>
    </w:p>
    <w:p w14:paraId="2478D63A" w14:textId="599F37FB" w:rsidR="00014A25" w:rsidRPr="002E7C92" w:rsidRDefault="00014A25" w:rsidP="00014A25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 xml:space="preserve">3.4 </w:t>
      </w:r>
      <w:r w:rsidR="004D3D9F">
        <w:rPr>
          <w:rFonts w:ascii="Times" w:hAnsi="Times" w:cs="Times"/>
        </w:rPr>
        <w:t>Costrutti e operazionalizzazione</w:t>
      </w:r>
    </w:p>
    <w:p w14:paraId="41085FDC" w14:textId="4DD4823F" w:rsidR="004D3D9F" w:rsidRPr="00C00816" w:rsidRDefault="00014A25" w:rsidP="00C00816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>3.</w:t>
      </w:r>
      <w:r>
        <w:rPr>
          <w:rFonts w:ascii="Times" w:hAnsi="Times" w:cs="Times"/>
        </w:rPr>
        <w:t>5</w:t>
      </w:r>
      <w:r w:rsidRPr="002E7C92">
        <w:rPr>
          <w:rFonts w:ascii="Times" w:hAnsi="Times" w:cs="Times"/>
        </w:rPr>
        <w:t xml:space="preserve"> </w:t>
      </w:r>
      <w:r w:rsidR="004D3D9F">
        <w:rPr>
          <w:rFonts w:ascii="Times" w:hAnsi="Times" w:cs="Times"/>
        </w:rPr>
        <w:t>Gli strumenti usati in psicologi</w:t>
      </w:r>
      <w:r w:rsidR="00C00816">
        <w:rPr>
          <w:rFonts w:ascii="Times" w:hAnsi="Times" w:cs="Times"/>
        </w:rPr>
        <w:t>a</w:t>
      </w:r>
    </w:p>
    <w:p w14:paraId="6E7E5BAF" w14:textId="77777777" w:rsidR="00657930" w:rsidRDefault="00657930" w:rsidP="00657930">
      <w:pPr>
        <w:rPr>
          <w:rFonts w:cs="Times"/>
          <w:iCs/>
          <w:u w:val="single"/>
          <w:lang w:val="en-US"/>
        </w:rPr>
      </w:pPr>
    </w:p>
    <w:p w14:paraId="0223A57A" w14:textId="4BE4199C" w:rsidR="00657930" w:rsidRPr="00657930" w:rsidRDefault="00657930" w:rsidP="00657930">
      <w:pPr>
        <w:rPr>
          <w:rFonts w:cs="Times"/>
          <w:iCs/>
          <w:u w:val="single"/>
        </w:rPr>
      </w:pPr>
      <w:bookmarkStart w:id="0" w:name="_Hlk102557052"/>
      <w:r w:rsidRPr="00657930">
        <w:rPr>
          <w:rFonts w:cs="Times"/>
          <w:iCs/>
          <w:u w:val="single"/>
        </w:rPr>
        <w:t xml:space="preserve">Unità </w:t>
      </w:r>
      <w:r w:rsidR="00F6183C">
        <w:rPr>
          <w:rFonts w:cs="Times"/>
          <w:iCs/>
          <w:u w:val="single"/>
        </w:rPr>
        <w:t>4</w:t>
      </w:r>
      <w:r w:rsidRPr="00657930">
        <w:rPr>
          <w:rFonts w:cs="Times"/>
          <w:iCs/>
          <w:u w:val="single"/>
        </w:rPr>
        <w:t xml:space="preserve">: </w:t>
      </w:r>
      <w:r w:rsidR="00FC5E19">
        <w:rPr>
          <w:rFonts w:cs="Times"/>
          <w:iCs/>
          <w:u w:val="single"/>
        </w:rPr>
        <w:t>La statistica descrittiva</w:t>
      </w:r>
    </w:p>
    <w:p w14:paraId="2C8FE036" w14:textId="205C4F7A" w:rsidR="00657930" w:rsidRPr="00657930" w:rsidRDefault="006245E0" w:rsidP="0065793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  <w:iCs/>
        </w:rPr>
        <w:t>4</w:t>
      </w:r>
      <w:r w:rsidR="00657930" w:rsidRPr="00657930">
        <w:rPr>
          <w:rFonts w:ascii="Times" w:hAnsi="Times" w:cs="Times"/>
          <w:iCs/>
        </w:rPr>
        <w:t xml:space="preserve">.1 </w:t>
      </w:r>
      <w:r w:rsidR="00366A5D">
        <w:rPr>
          <w:rFonts w:ascii="Times" w:hAnsi="Times" w:cs="Times"/>
        </w:rPr>
        <w:t>La creazione del dataset</w:t>
      </w:r>
    </w:p>
    <w:p w14:paraId="19F38298" w14:textId="1061CABF" w:rsidR="008971BB" w:rsidRPr="008971BB" w:rsidRDefault="006245E0" w:rsidP="008971BB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4</w:t>
      </w:r>
      <w:r w:rsidR="00657930" w:rsidRPr="002E7C92">
        <w:rPr>
          <w:rFonts w:ascii="Times" w:hAnsi="Times" w:cs="Times"/>
        </w:rPr>
        <w:t>.2</w:t>
      </w:r>
      <w:r w:rsidR="00657930">
        <w:rPr>
          <w:rFonts w:ascii="Times" w:hAnsi="Times" w:cs="Times"/>
        </w:rPr>
        <w:t xml:space="preserve"> </w:t>
      </w:r>
      <w:r w:rsidR="008971BB">
        <w:rPr>
          <w:rFonts w:ascii="Times" w:hAnsi="Times" w:cs="Times"/>
        </w:rPr>
        <w:t>Tabelle di frequenza</w:t>
      </w:r>
    </w:p>
    <w:p w14:paraId="5EA6AE6A" w14:textId="12ABC98C" w:rsidR="00657930" w:rsidRPr="008971BB" w:rsidRDefault="006245E0" w:rsidP="0065793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4</w:t>
      </w:r>
      <w:r w:rsidR="00657930">
        <w:rPr>
          <w:rFonts w:ascii="Times" w:hAnsi="Times" w:cs="Times"/>
        </w:rPr>
        <w:t xml:space="preserve">.3 </w:t>
      </w:r>
      <w:r w:rsidR="008971BB">
        <w:rPr>
          <w:rFonts w:ascii="Times" w:hAnsi="Times" w:cs="Times"/>
        </w:rPr>
        <w:t>Indici di tendenza centrale</w:t>
      </w:r>
    </w:p>
    <w:p w14:paraId="39843EFD" w14:textId="635FB043" w:rsidR="008971BB" w:rsidRPr="008971BB" w:rsidRDefault="006245E0" w:rsidP="0065793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4</w:t>
      </w:r>
      <w:r w:rsidR="008971BB">
        <w:rPr>
          <w:rFonts w:ascii="Times" w:hAnsi="Times" w:cs="Times"/>
        </w:rPr>
        <w:t>.4 Indici di variabilità</w:t>
      </w:r>
    </w:p>
    <w:p w14:paraId="63AB9857" w14:textId="68F9E137" w:rsidR="008971BB" w:rsidRPr="008971BB" w:rsidRDefault="006245E0" w:rsidP="0065793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4</w:t>
      </w:r>
      <w:r w:rsidR="008971BB">
        <w:rPr>
          <w:rFonts w:ascii="Times" w:hAnsi="Times" w:cs="Times"/>
        </w:rPr>
        <w:t>.5 Tabella a doppia entrata</w:t>
      </w:r>
    </w:p>
    <w:p w14:paraId="3774C284" w14:textId="5541E3E1" w:rsidR="008971BB" w:rsidRPr="00F6183C" w:rsidRDefault="006245E0" w:rsidP="0065793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4</w:t>
      </w:r>
      <w:r w:rsidR="008971BB">
        <w:rPr>
          <w:rFonts w:ascii="Times" w:hAnsi="Times" w:cs="Times"/>
        </w:rPr>
        <w:t>.6 Tabelle e grafici</w:t>
      </w:r>
    </w:p>
    <w:p w14:paraId="7CD99324" w14:textId="77777777" w:rsidR="00F6183C" w:rsidRPr="00F6183C" w:rsidRDefault="00F6183C" w:rsidP="00F6183C">
      <w:pPr>
        <w:pStyle w:val="Paragrafoelenco"/>
        <w:ind w:left="284"/>
        <w:rPr>
          <w:rFonts w:ascii="Times" w:hAnsi="Times" w:cs="Times"/>
          <w:iCs/>
          <w:u w:val="single"/>
        </w:rPr>
      </w:pPr>
    </w:p>
    <w:p w14:paraId="49A8B0AE" w14:textId="77777777" w:rsidR="00F6183C" w:rsidRPr="002E7C92" w:rsidRDefault="00F6183C" w:rsidP="00F6183C">
      <w:pPr>
        <w:rPr>
          <w:rFonts w:cs="Times"/>
          <w:iCs/>
          <w:u w:val="single"/>
          <w:lang w:val="en-US"/>
        </w:rPr>
      </w:pPr>
      <w:r w:rsidRPr="002E7C92">
        <w:rPr>
          <w:rFonts w:cs="Times"/>
          <w:iCs/>
          <w:u w:val="single"/>
          <w:lang w:val="en-US"/>
        </w:rPr>
        <w:t>Unit</w:t>
      </w:r>
      <w:r>
        <w:rPr>
          <w:rFonts w:cs="Times"/>
          <w:iCs/>
          <w:u w:val="single"/>
          <w:lang w:val="en-US"/>
        </w:rPr>
        <w:t>à</w:t>
      </w:r>
      <w:r w:rsidRPr="002E7C92">
        <w:rPr>
          <w:rFonts w:cs="Times"/>
          <w:iCs/>
          <w:u w:val="single"/>
          <w:lang w:val="en-US"/>
        </w:rPr>
        <w:t xml:space="preserve"> </w:t>
      </w:r>
      <w:r>
        <w:rPr>
          <w:rFonts w:cs="Times"/>
          <w:iCs/>
          <w:u w:val="single"/>
          <w:lang w:val="en-US"/>
        </w:rPr>
        <w:t>5</w:t>
      </w:r>
      <w:r w:rsidRPr="002E7C92">
        <w:rPr>
          <w:rFonts w:cs="Times"/>
          <w:iCs/>
          <w:u w:val="single"/>
          <w:lang w:val="en-US"/>
        </w:rPr>
        <w:t xml:space="preserve">: </w:t>
      </w:r>
      <w:r>
        <w:rPr>
          <w:rFonts w:cs="Times"/>
          <w:iCs/>
          <w:u w:val="single"/>
          <w:lang w:val="en-US"/>
        </w:rPr>
        <w:t>L’etica della ricerca</w:t>
      </w:r>
    </w:p>
    <w:p w14:paraId="678EDEEC" w14:textId="5BD013F7" w:rsidR="00F6183C" w:rsidRPr="001C2202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  <w:iCs/>
        </w:rPr>
        <w:t>5</w:t>
      </w:r>
      <w:r w:rsidR="00F6183C" w:rsidRPr="001C2202">
        <w:rPr>
          <w:rFonts w:ascii="Times" w:hAnsi="Times" w:cs="Times"/>
          <w:iCs/>
        </w:rPr>
        <w:t xml:space="preserve">.1 </w:t>
      </w:r>
      <w:r w:rsidR="00F6183C">
        <w:rPr>
          <w:rFonts w:ascii="Times" w:hAnsi="Times" w:cs="Times"/>
          <w:iCs/>
        </w:rPr>
        <w:t>Le origini storiche</w:t>
      </w:r>
    </w:p>
    <w:p w14:paraId="6F0AEA29" w14:textId="589AD3C7" w:rsidR="00F6183C" w:rsidRPr="004D3D9F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 w:rsidRPr="004D3D9F">
        <w:rPr>
          <w:rFonts w:ascii="Times" w:hAnsi="Times" w:cs="Times"/>
        </w:rPr>
        <w:t xml:space="preserve">.2 Il codice etico dell’AIP e dell’APA </w:t>
      </w:r>
    </w:p>
    <w:p w14:paraId="10C60C5A" w14:textId="46BB6C75" w:rsid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.3 I principi generali</w:t>
      </w:r>
    </w:p>
    <w:p w14:paraId="18D48A13" w14:textId="1F3CA550" w:rsid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.4 Approvazione istituzionale</w:t>
      </w:r>
    </w:p>
    <w:p w14:paraId="2CC1C947" w14:textId="749EBB9C" w:rsid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.5 Consenso informato</w:t>
      </w:r>
    </w:p>
    <w:p w14:paraId="2153827C" w14:textId="08904FCE" w:rsid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.6 Incentivi alla partecipazione</w:t>
      </w:r>
    </w:p>
    <w:p w14:paraId="1BC192C9" w14:textId="23523654" w:rsid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.7 Uso dell’inganno</w:t>
      </w:r>
    </w:p>
    <w:p w14:paraId="6C28E449" w14:textId="23FAF99A" w:rsid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.8 Debriefing</w:t>
      </w:r>
    </w:p>
    <w:p w14:paraId="77CAB85B" w14:textId="6E464E8D" w:rsid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.9 Etica e pubblicazione</w:t>
      </w:r>
    </w:p>
    <w:p w14:paraId="5593880E" w14:textId="1A406D9D" w:rsidR="00F6183C" w:rsidRPr="00F6183C" w:rsidRDefault="006245E0" w:rsidP="00F6183C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5</w:t>
      </w:r>
      <w:r w:rsidR="00F6183C">
        <w:rPr>
          <w:rFonts w:ascii="Times" w:hAnsi="Times" w:cs="Times"/>
        </w:rPr>
        <w:t>.10 Trattamento dei dati</w:t>
      </w:r>
    </w:p>
    <w:bookmarkEnd w:id="0"/>
    <w:p w14:paraId="57B8DB8C" w14:textId="6C468AD5" w:rsidR="007D6808" w:rsidRPr="00983145" w:rsidRDefault="007D6808" w:rsidP="007D680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9CB66C5" w14:textId="77777777" w:rsidR="007D6808" w:rsidRPr="007D6808" w:rsidRDefault="007D6808" w:rsidP="007D6808">
      <w:pPr>
        <w:pStyle w:val="Testo1"/>
      </w:pPr>
      <w:r w:rsidRPr="007D6808">
        <w:rPr>
          <w:u w:val="single"/>
        </w:rPr>
        <w:t>Testi di riferimento</w:t>
      </w:r>
      <w:r w:rsidRPr="007D6808">
        <w:t> </w:t>
      </w:r>
    </w:p>
    <w:p w14:paraId="3B327666" w14:textId="60D4A47A" w:rsidR="007D6808" w:rsidRDefault="00014A25" w:rsidP="007D680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D</w:t>
      </w:r>
      <w:r w:rsidR="007D6808" w:rsidRPr="007D6808">
        <w:rPr>
          <w:smallCaps/>
          <w:spacing w:val="-5"/>
          <w:sz w:val="16"/>
        </w:rPr>
        <w:t>. </w:t>
      </w:r>
      <w:r>
        <w:rPr>
          <w:smallCaps/>
          <w:spacing w:val="-5"/>
          <w:sz w:val="16"/>
        </w:rPr>
        <w:t>Howitt</w:t>
      </w:r>
      <w:r w:rsidR="007D6808" w:rsidRPr="007D6808">
        <w:rPr>
          <w:smallCaps/>
          <w:spacing w:val="-5"/>
          <w:sz w:val="16"/>
        </w:rPr>
        <w:t xml:space="preserve"> –</w:t>
      </w:r>
      <w:r>
        <w:rPr>
          <w:smallCaps/>
          <w:spacing w:val="-5"/>
          <w:sz w:val="16"/>
        </w:rPr>
        <w:t>D</w:t>
      </w:r>
      <w:r w:rsidR="007D6808" w:rsidRPr="007D6808">
        <w:rPr>
          <w:smallCaps/>
          <w:spacing w:val="-5"/>
          <w:sz w:val="16"/>
        </w:rPr>
        <w:t>. </w:t>
      </w:r>
      <w:r>
        <w:rPr>
          <w:smallCaps/>
          <w:spacing w:val="-5"/>
          <w:sz w:val="16"/>
        </w:rPr>
        <w:t>Cramer</w:t>
      </w:r>
      <w:r w:rsidR="007D6808" w:rsidRPr="007D6808">
        <w:rPr>
          <w:smallCaps/>
          <w:spacing w:val="-5"/>
          <w:sz w:val="16"/>
        </w:rPr>
        <w:t>,</w:t>
      </w:r>
      <w:r w:rsidR="007D6808" w:rsidRPr="007D6808">
        <w:rPr>
          <w:i/>
          <w:spacing w:val="-5"/>
        </w:rPr>
        <w:t> </w:t>
      </w:r>
      <w:r w:rsidR="007D6808" w:rsidRPr="007D6808">
        <w:rPr>
          <w:i/>
          <w:iCs/>
          <w:spacing w:val="-5"/>
        </w:rPr>
        <w:t>Metodologia della ricerca in psicologia</w:t>
      </w:r>
      <w:r w:rsidR="007D6808" w:rsidRPr="007D6808">
        <w:rPr>
          <w:i/>
          <w:spacing w:val="-5"/>
        </w:rPr>
        <w:t> </w:t>
      </w:r>
      <w:r w:rsidR="007D6808" w:rsidRPr="009F06D3">
        <w:rPr>
          <w:iCs/>
          <w:spacing w:val="-5"/>
        </w:rPr>
        <w:t>(edizione italiana a cura di M. Lanz,  S. Tagliabue),</w:t>
      </w:r>
      <w:r w:rsidR="007D6808" w:rsidRPr="007D6808">
        <w:rPr>
          <w:spacing w:val="-5"/>
        </w:rPr>
        <w:t> </w:t>
      </w:r>
      <w:r>
        <w:rPr>
          <w:spacing w:val="-5"/>
        </w:rPr>
        <w:t>Pearson</w:t>
      </w:r>
      <w:r w:rsidR="007D6808" w:rsidRPr="007D6808">
        <w:rPr>
          <w:spacing w:val="-5"/>
        </w:rPr>
        <w:t>, Milano, 202</w:t>
      </w:r>
      <w:r>
        <w:rPr>
          <w:spacing w:val="-5"/>
        </w:rPr>
        <w:t>0</w:t>
      </w:r>
      <w:r w:rsidR="007D6808" w:rsidRPr="007D6808">
        <w:rPr>
          <w:spacing w:val="-5"/>
        </w:rPr>
        <w:t>, capitoli</w:t>
      </w:r>
      <w:r>
        <w:rPr>
          <w:spacing w:val="-5"/>
        </w:rPr>
        <w:t xml:space="preserve"> e paragrafi</w:t>
      </w:r>
      <w:r w:rsidR="007D6808" w:rsidRPr="007D6808">
        <w:rPr>
          <w:spacing w:val="-5"/>
        </w:rPr>
        <w:t>:1</w:t>
      </w:r>
      <w:r>
        <w:rPr>
          <w:spacing w:val="-5"/>
        </w:rPr>
        <w:t>.1, 1.2</w:t>
      </w:r>
      <w:r w:rsidR="007D6808" w:rsidRPr="007D6808">
        <w:rPr>
          <w:spacing w:val="-5"/>
        </w:rPr>
        <w:t xml:space="preserve">, 2, 3, </w:t>
      </w:r>
      <w:r>
        <w:rPr>
          <w:spacing w:val="-5"/>
        </w:rPr>
        <w:t>6.</w:t>
      </w:r>
      <w:r w:rsidR="00F34703">
        <w:rPr>
          <w:spacing w:val="-5"/>
        </w:rPr>
        <w:t xml:space="preserve"> </w:t>
      </w:r>
      <w:hyperlink r:id="rId7" w:history="1">
        <w:r w:rsidR="00F34703" w:rsidRPr="00F34703">
          <w:rPr>
            <w:rStyle w:val="Collegamentoipertestuale"/>
            <w:spacing w:val="-5"/>
          </w:rPr>
          <w:t>Acquista da V&amp;P</w:t>
        </w:r>
      </w:hyperlink>
    </w:p>
    <w:p w14:paraId="2425A1CF" w14:textId="77777777" w:rsidR="00983145" w:rsidRDefault="00983145" w:rsidP="00035FC5">
      <w:pPr>
        <w:pStyle w:val="Testo1"/>
        <w:spacing w:line="240" w:lineRule="atLeast"/>
        <w:rPr>
          <w:i/>
          <w:iCs/>
          <w:spacing w:val="-5"/>
        </w:rPr>
      </w:pPr>
    </w:p>
    <w:p w14:paraId="13B355AE" w14:textId="39ED1F19" w:rsidR="00014A25" w:rsidRPr="00035FC5" w:rsidRDefault="00014A25" w:rsidP="00035FC5">
      <w:pPr>
        <w:pStyle w:val="Testo1"/>
        <w:spacing w:line="240" w:lineRule="atLeast"/>
        <w:rPr>
          <w:i/>
          <w:iCs/>
          <w:spacing w:val="-5"/>
        </w:rPr>
      </w:pPr>
      <w:bookmarkStart w:id="1" w:name="_GoBack"/>
      <w:r>
        <w:rPr>
          <w:i/>
          <w:iCs/>
          <w:spacing w:val="-5"/>
        </w:rPr>
        <w:t>Materiali per il corso di m</w:t>
      </w:r>
      <w:r w:rsidRPr="007D6808">
        <w:rPr>
          <w:i/>
          <w:iCs/>
          <w:spacing w:val="-5"/>
        </w:rPr>
        <w:t xml:space="preserve">etodologia della </w:t>
      </w:r>
      <w:r>
        <w:rPr>
          <w:i/>
          <w:iCs/>
          <w:spacing w:val="-5"/>
        </w:rPr>
        <w:t xml:space="preserve">ricerca psicologica </w:t>
      </w:r>
      <w:bookmarkEnd w:id="1"/>
      <w:r>
        <w:rPr>
          <w:i/>
          <w:iCs/>
          <w:spacing w:val="-5"/>
        </w:rPr>
        <w:t>I</w:t>
      </w:r>
      <w:r>
        <w:rPr>
          <w:spacing w:val="-5"/>
        </w:rPr>
        <w:t xml:space="preserve">, </w:t>
      </w:r>
      <w:r w:rsidRPr="00014A25">
        <w:rPr>
          <w:spacing w:val="-5"/>
        </w:rPr>
        <w:t>EDUCATT 202</w:t>
      </w:r>
      <w:r w:rsidR="007F071C">
        <w:rPr>
          <w:spacing w:val="-5"/>
        </w:rPr>
        <w:t>3</w:t>
      </w:r>
    </w:p>
    <w:p w14:paraId="42F71A88" w14:textId="77777777" w:rsidR="00983145" w:rsidRDefault="00983145" w:rsidP="00983145">
      <w:pPr>
        <w:pStyle w:val="Testo1"/>
        <w:ind w:left="0" w:firstLine="0"/>
      </w:pPr>
    </w:p>
    <w:p w14:paraId="2B76442F" w14:textId="77777777" w:rsidR="007F437A" w:rsidRDefault="007D6808" w:rsidP="007F437A">
      <w:pPr>
        <w:pStyle w:val="Testo1"/>
        <w:ind w:left="0" w:firstLine="0"/>
      </w:pPr>
      <w:r w:rsidRPr="007D6808">
        <w:t>Contenuti del laboratorio online a distanza disponibili online sulla piattaforma Blackboard.</w:t>
      </w:r>
    </w:p>
    <w:p w14:paraId="7F04B580" w14:textId="2409EA82" w:rsidR="007D6808" w:rsidRPr="00653547" w:rsidRDefault="007D6808" w:rsidP="00653547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B3FC83" w14:textId="4EA709F8" w:rsidR="007D6808" w:rsidRPr="004E32FC" w:rsidRDefault="007D6808" w:rsidP="009F06D3">
      <w:pPr>
        <w:pStyle w:val="Testo2"/>
        <w:spacing w:line="240" w:lineRule="exact"/>
      </w:pPr>
      <w:r w:rsidRPr="007D6808">
        <w:t>Lezioni ed esercitazioni in aula; didattica laboratoriale a distanza che consentirà agli studenti di mettere in pratica gli apprendimenti delle lezioni teoriche lavorando su brevi esempi di ricerca e facendo analisi di dati quantitativi. </w:t>
      </w:r>
      <w:r w:rsidR="00242642">
        <w:t xml:space="preserve">Parte della didattica laboratoriale sarà </w:t>
      </w:r>
      <w:r w:rsidR="00242642" w:rsidRPr="004E32FC">
        <w:t>svolta in aula</w:t>
      </w:r>
      <w:r w:rsidR="00983145" w:rsidRPr="004E32FC">
        <w:t>.</w:t>
      </w:r>
    </w:p>
    <w:p w14:paraId="7DEB2818" w14:textId="77777777" w:rsidR="007D6808" w:rsidRPr="004E32FC" w:rsidRDefault="007D6808" w:rsidP="007D6808">
      <w:pPr>
        <w:spacing w:before="240" w:after="120" w:line="220" w:lineRule="exact"/>
        <w:rPr>
          <w:b/>
          <w:i/>
          <w:noProof/>
          <w:sz w:val="18"/>
        </w:rPr>
      </w:pPr>
      <w:r w:rsidRPr="004E32FC">
        <w:rPr>
          <w:b/>
          <w:i/>
          <w:noProof/>
          <w:sz w:val="18"/>
        </w:rPr>
        <w:t>METODO E CRITERI DI VALUTAZIONE</w:t>
      </w:r>
    </w:p>
    <w:p w14:paraId="416E2052" w14:textId="4F80542C" w:rsidR="007A47C0" w:rsidRPr="007A47C0" w:rsidRDefault="004E32FC" w:rsidP="009F06D3">
      <w:pPr>
        <w:pStyle w:val="Testo2"/>
        <w:spacing w:line="240" w:lineRule="exact"/>
      </w:pPr>
      <w:r w:rsidRPr="004E32FC">
        <w:rPr>
          <w:color w:val="000000"/>
        </w:rPr>
        <w:lastRenderedPageBreak/>
        <w:t>L</w:t>
      </w:r>
      <w:r w:rsidR="006E4782">
        <w:rPr>
          <w:color w:val="000000"/>
        </w:rPr>
        <w:t>’</w:t>
      </w:r>
      <w:r w:rsidRPr="004E32FC">
        <w:rPr>
          <w:color w:val="000000"/>
        </w:rPr>
        <w:t>esame consisterà in una prova scritta, con possibilità, su</w:t>
      </w:r>
      <w:r w:rsidR="00C00816">
        <w:rPr>
          <w:color w:val="000000"/>
        </w:rPr>
        <w:t xml:space="preserve"> </w:t>
      </w:r>
      <w:r w:rsidRPr="004E32FC">
        <w:rPr>
          <w:color w:val="000000"/>
        </w:rPr>
        <w:t>richiesta della Commissione  d</w:t>
      </w:r>
      <w:r w:rsidR="006E4782">
        <w:rPr>
          <w:color w:val="000000"/>
        </w:rPr>
        <w:t>’</w:t>
      </w:r>
      <w:r w:rsidRPr="004E32FC">
        <w:rPr>
          <w:color w:val="000000"/>
        </w:rPr>
        <w:t>esame e/o dello studente, di una prova orale di approfondimento e integrazione da effettuarsi secondo le modalità disposte dalla Commissione</w:t>
      </w:r>
      <w:r w:rsidRPr="004E32FC">
        <w:t xml:space="preserve">. La prova scritta </w:t>
      </w:r>
      <w:r w:rsidR="007A47C0" w:rsidRPr="004E32FC">
        <w:t xml:space="preserve">prevede </w:t>
      </w:r>
      <w:r w:rsidR="000576F1">
        <w:t>due</w:t>
      </w:r>
      <w:r w:rsidR="007A47C0" w:rsidRPr="004E32FC">
        <w:t xml:space="preserve"> parti: domande a scelta multipla</w:t>
      </w:r>
      <w:r w:rsidR="00435047">
        <w:t xml:space="preserve"> e una parte pratica</w:t>
      </w:r>
      <w:r w:rsidR="007A47C0" w:rsidRPr="004E32FC">
        <w:t>. Le domande a scelta multipla valuteranno la conoscenza dei concetti di base presentati nel manuale e</w:t>
      </w:r>
      <w:r w:rsidR="007A47C0" w:rsidRPr="007A47C0">
        <w:t xml:space="preserve"> durante le lezioni (massimo 14 punti</w:t>
      </w:r>
      <w:r w:rsidR="003961C4">
        <w:t>, il punteggio minimo per accedere alla seconda parte deve essere di 9</w:t>
      </w:r>
      <w:r w:rsidR="007A47C0" w:rsidRPr="007A47C0">
        <w:t xml:space="preserve">); </w:t>
      </w:r>
      <w:r w:rsidR="00FB23BC">
        <w:t xml:space="preserve">la parte pratica </w:t>
      </w:r>
      <w:r w:rsidR="007A47C0" w:rsidRPr="007A47C0">
        <w:t>valute</w:t>
      </w:r>
      <w:r w:rsidR="00010723">
        <w:t>r</w:t>
      </w:r>
      <w:r w:rsidR="00FB23BC">
        <w:t>à</w:t>
      </w:r>
      <w:r w:rsidR="007A47C0" w:rsidRPr="007A47C0">
        <w:t xml:space="preserve"> le competenze sviluppate nel laboratorio a distanza</w:t>
      </w:r>
      <w:r w:rsidR="00AB628D">
        <w:t>,</w:t>
      </w:r>
      <w:r w:rsidR="007A47C0" w:rsidRPr="007A47C0">
        <w:t xml:space="preserve"> </w:t>
      </w:r>
      <w:r w:rsidR="00540D44" w:rsidRPr="007A47C0">
        <w:t>la capacità di integrare le conoscenze acquisite, di essere autonomo nella valutazione di una ricerca</w:t>
      </w:r>
      <w:r w:rsidR="00010723">
        <w:t>, di analizzare</w:t>
      </w:r>
      <w:r w:rsidR="00010723" w:rsidRPr="007A47C0">
        <w:t xml:space="preserve"> </w:t>
      </w:r>
      <w:r w:rsidR="00010723">
        <w:t>i dati</w:t>
      </w:r>
      <w:r w:rsidR="00540D44" w:rsidRPr="007A47C0">
        <w:t xml:space="preserve"> e di saper interpretare e rielaborare le informazioni contenute in una ricerca </w:t>
      </w:r>
      <w:r w:rsidR="007A47C0" w:rsidRPr="007A47C0">
        <w:t xml:space="preserve">(massimo </w:t>
      </w:r>
      <w:r w:rsidR="00FB23BC">
        <w:t>16</w:t>
      </w:r>
      <w:r w:rsidR="007A47C0" w:rsidRPr="007A47C0">
        <w:t xml:space="preserve"> punti)</w:t>
      </w:r>
      <w:r w:rsidR="004A5CE1">
        <w:t xml:space="preserve">. </w:t>
      </w:r>
      <w:r w:rsidR="00FA1D8F">
        <w:t xml:space="preserve">Se in </w:t>
      </w:r>
      <w:r w:rsidR="004A5CE1">
        <w:t xml:space="preserve">entrambe </w:t>
      </w:r>
      <w:r w:rsidR="00FA1D8F">
        <w:t xml:space="preserve">le parti lo studente ottiene il massimo punteggio, </w:t>
      </w:r>
      <w:r w:rsidR="00F96E08">
        <w:t>otterrà</w:t>
      </w:r>
      <w:r w:rsidR="00FA1D8F">
        <w:t xml:space="preserve"> la lode. </w:t>
      </w:r>
      <w:r w:rsidR="007A47C0" w:rsidRPr="007A47C0">
        <w:t>Il punteggio finale dello scritto deve raggiungere la sufficienza. Non è possibile suddividere l’esame.</w:t>
      </w:r>
    </w:p>
    <w:p w14:paraId="3D7E32EB" w14:textId="77777777" w:rsidR="007D6808" w:rsidRDefault="007D6808" w:rsidP="007D6808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C41B89E" w14:textId="19505066" w:rsidR="007D6808" w:rsidRPr="007D6808" w:rsidRDefault="007D6808" w:rsidP="00A37153">
      <w:pPr>
        <w:pStyle w:val="Testo2"/>
        <w:rPr>
          <w:i/>
        </w:rPr>
      </w:pPr>
      <w:r w:rsidRPr="007D6808">
        <w:t xml:space="preserve">Lo studente dovrà possedere conoscenze di base relativamente ai concetti di logica e di matematica (operazioni algebriche, incognite, equivalenze, equazioni). </w:t>
      </w:r>
    </w:p>
    <w:p w14:paraId="1D1CBE13" w14:textId="0929EDBC" w:rsidR="00A607EA" w:rsidRPr="008D3BEB" w:rsidRDefault="003431B7" w:rsidP="00A607EA">
      <w:pPr>
        <w:spacing w:before="240" w:after="120"/>
        <w:rPr>
          <w:bCs/>
          <w:i/>
          <w:noProof/>
          <w:sz w:val="18"/>
        </w:rPr>
      </w:pPr>
      <w:r>
        <w:rPr>
          <w:bCs/>
          <w:i/>
          <w:noProof/>
          <w:sz w:val="18"/>
        </w:rPr>
        <w:t>Orario e luogo di ricevimento degli studenti</w:t>
      </w:r>
    </w:p>
    <w:p w14:paraId="714D68DD" w14:textId="77DE5767" w:rsidR="00EC5CDA" w:rsidRPr="007D6808" w:rsidRDefault="00EC5CDA" w:rsidP="00EC5CDA">
      <w:pPr>
        <w:pStyle w:val="Testo2"/>
      </w:pPr>
      <w:r w:rsidRPr="007D6808">
        <w:t xml:space="preserve">La Prof.ssa </w:t>
      </w:r>
      <w:r>
        <w:t>Michela Zambelli</w:t>
      </w:r>
      <w:r w:rsidRPr="007D6808">
        <w:t xml:space="preserve"> riceve alla fine delle lezioni o fissando un incontro scrivendo una email al seguente indirizzo: </w:t>
      </w:r>
      <w:hyperlink r:id="rId8" w:history="1"/>
      <w:r>
        <w:t>michela.zambelli</w:t>
      </w:r>
      <w:r w:rsidRPr="007D6808">
        <w:t>@unicatt.it</w:t>
      </w:r>
    </w:p>
    <w:p w14:paraId="71234650" w14:textId="77777777" w:rsidR="00EC5CDA" w:rsidRDefault="00EC5CDA" w:rsidP="007D6808">
      <w:pPr>
        <w:pStyle w:val="Testo2"/>
      </w:pPr>
    </w:p>
    <w:p w14:paraId="24B040F7" w14:textId="37F29AA4" w:rsidR="007D6808" w:rsidRPr="007D6808" w:rsidRDefault="007D6808" w:rsidP="007D6808">
      <w:pPr>
        <w:pStyle w:val="Testo2"/>
      </w:pPr>
      <w:r w:rsidRPr="007D6808">
        <w:t xml:space="preserve">La Prof.ssa Semira Tagliabue riceve alla fine delle lezioni o fissando un incontro scrivendo una email al seguente indirizzo: </w:t>
      </w:r>
      <w:hyperlink r:id="rId9" w:history="1"/>
      <w:r w:rsidRPr="007D6808">
        <w:t>semira.tagliabue@unicatt.it</w:t>
      </w:r>
    </w:p>
    <w:p w14:paraId="18B90D8A" w14:textId="77777777" w:rsidR="007D6808" w:rsidRPr="007D6808" w:rsidRDefault="007D6808" w:rsidP="007D6808">
      <w:pPr>
        <w:pStyle w:val="Testo2"/>
      </w:pPr>
    </w:p>
    <w:p w14:paraId="0E491764" w14:textId="77777777" w:rsidR="007D6808" w:rsidRPr="007D6808" w:rsidRDefault="007D6808" w:rsidP="007D6808">
      <w:pPr>
        <w:pStyle w:val="Testo2"/>
      </w:pPr>
    </w:p>
    <w:p w14:paraId="251309E8" w14:textId="3404536B" w:rsidR="007D6808" w:rsidRDefault="007D6808" w:rsidP="007D6808">
      <w:pPr>
        <w:pStyle w:val="Testo1"/>
      </w:pPr>
    </w:p>
    <w:p w14:paraId="2500EC7D" w14:textId="2F7D4F3A" w:rsidR="00B67A7A" w:rsidRDefault="00B67A7A" w:rsidP="007D6808">
      <w:pPr>
        <w:pStyle w:val="Testo1"/>
      </w:pPr>
    </w:p>
    <w:p w14:paraId="484841DC" w14:textId="0D00A961" w:rsidR="00B67A7A" w:rsidRPr="00184DC0" w:rsidRDefault="00B67A7A" w:rsidP="00184DC0">
      <w:pPr>
        <w:tabs>
          <w:tab w:val="clear" w:pos="284"/>
        </w:tabs>
        <w:spacing w:line="240" w:lineRule="auto"/>
        <w:jc w:val="left"/>
        <w:rPr>
          <w:noProof/>
          <w:sz w:val="18"/>
        </w:rPr>
      </w:pPr>
    </w:p>
    <w:p w14:paraId="0489C42A" w14:textId="77777777" w:rsidR="00B67A7A" w:rsidRDefault="00B67A7A" w:rsidP="00B67A7A">
      <w:pPr>
        <w:pStyle w:val="Testo1"/>
      </w:pPr>
    </w:p>
    <w:p w14:paraId="6A838C5D" w14:textId="77777777" w:rsidR="00B67A7A" w:rsidRPr="007D6808" w:rsidRDefault="00B67A7A" w:rsidP="007D6808">
      <w:pPr>
        <w:pStyle w:val="Testo1"/>
      </w:pPr>
    </w:p>
    <w:sectPr w:rsidR="00B67A7A" w:rsidRPr="007D680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2C8C" w14:textId="77777777" w:rsidR="00870948" w:rsidRDefault="00870948" w:rsidP="00653547">
      <w:pPr>
        <w:spacing w:line="240" w:lineRule="auto"/>
      </w:pPr>
      <w:r>
        <w:separator/>
      </w:r>
    </w:p>
  </w:endnote>
  <w:endnote w:type="continuationSeparator" w:id="0">
    <w:p w14:paraId="7F33E5C8" w14:textId="77777777" w:rsidR="00870948" w:rsidRDefault="00870948" w:rsidP="00653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84271" w14:textId="77777777" w:rsidR="00870948" w:rsidRDefault="00870948" w:rsidP="00653547">
      <w:pPr>
        <w:spacing w:line="240" w:lineRule="auto"/>
      </w:pPr>
      <w:r>
        <w:separator/>
      </w:r>
    </w:p>
  </w:footnote>
  <w:footnote w:type="continuationSeparator" w:id="0">
    <w:p w14:paraId="5792364C" w14:textId="77777777" w:rsidR="00870948" w:rsidRDefault="00870948" w:rsidP="00653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179E"/>
    <w:multiLevelType w:val="hybridMultilevel"/>
    <w:tmpl w:val="40602A28"/>
    <w:lvl w:ilvl="0" w:tplc="DE808542">
      <w:start w:val="4"/>
      <w:numFmt w:val="bullet"/>
      <w:lvlText w:val="-"/>
      <w:lvlJc w:val="left"/>
      <w:pPr>
        <w:ind w:left="825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D7F3814"/>
    <w:multiLevelType w:val="hybridMultilevel"/>
    <w:tmpl w:val="2F9E14A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10723"/>
    <w:rsid w:val="00014A25"/>
    <w:rsid w:val="00027801"/>
    <w:rsid w:val="00035FC5"/>
    <w:rsid w:val="000576F1"/>
    <w:rsid w:val="0008127B"/>
    <w:rsid w:val="0009649C"/>
    <w:rsid w:val="000F41D9"/>
    <w:rsid w:val="001572E8"/>
    <w:rsid w:val="00172823"/>
    <w:rsid w:val="00184DC0"/>
    <w:rsid w:val="00207272"/>
    <w:rsid w:val="00220E73"/>
    <w:rsid w:val="00242642"/>
    <w:rsid w:val="0027171B"/>
    <w:rsid w:val="00292B6E"/>
    <w:rsid w:val="002C4937"/>
    <w:rsid w:val="0032144F"/>
    <w:rsid w:val="00335BF7"/>
    <w:rsid w:val="003431B7"/>
    <w:rsid w:val="00366A5D"/>
    <w:rsid w:val="00394CD6"/>
    <w:rsid w:val="003961C4"/>
    <w:rsid w:val="003B6DCA"/>
    <w:rsid w:val="00400728"/>
    <w:rsid w:val="00431CCC"/>
    <w:rsid w:val="00435047"/>
    <w:rsid w:val="0048739A"/>
    <w:rsid w:val="004A5CE1"/>
    <w:rsid w:val="004D3D9F"/>
    <w:rsid w:val="004E32FC"/>
    <w:rsid w:val="00507E45"/>
    <w:rsid w:val="00540D44"/>
    <w:rsid w:val="006205C0"/>
    <w:rsid w:val="006245E0"/>
    <w:rsid w:val="00653547"/>
    <w:rsid w:val="00657930"/>
    <w:rsid w:val="00676ED1"/>
    <w:rsid w:val="006A34BA"/>
    <w:rsid w:val="006B2038"/>
    <w:rsid w:val="006E4782"/>
    <w:rsid w:val="006E64F2"/>
    <w:rsid w:val="007910E6"/>
    <w:rsid w:val="007A3D88"/>
    <w:rsid w:val="007A47C0"/>
    <w:rsid w:val="007D6808"/>
    <w:rsid w:val="007F071C"/>
    <w:rsid w:val="007F437A"/>
    <w:rsid w:val="00807C66"/>
    <w:rsid w:val="0084374D"/>
    <w:rsid w:val="00870948"/>
    <w:rsid w:val="008745D6"/>
    <w:rsid w:val="008971BB"/>
    <w:rsid w:val="008D3BEB"/>
    <w:rsid w:val="008D5D3F"/>
    <w:rsid w:val="008E6EDC"/>
    <w:rsid w:val="008F0373"/>
    <w:rsid w:val="00922352"/>
    <w:rsid w:val="00983145"/>
    <w:rsid w:val="009C29C6"/>
    <w:rsid w:val="009F06D3"/>
    <w:rsid w:val="00A15CAF"/>
    <w:rsid w:val="00A37153"/>
    <w:rsid w:val="00A56B59"/>
    <w:rsid w:val="00A607EA"/>
    <w:rsid w:val="00AB628D"/>
    <w:rsid w:val="00B25048"/>
    <w:rsid w:val="00B67A7A"/>
    <w:rsid w:val="00C00816"/>
    <w:rsid w:val="00C56229"/>
    <w:rsid w:val="00C94156"/>
    <w:rsid w:val="00CB7F5D"/>
    <w:rsid w:val="00D34184"/>
    <w:rsid w:val="00D951DE"/>
    <w:rsid w:val="00DD60E7"/>
    <w:rsid w:val="00E82646"/>
    <w:rsid w:val="00E94D90"/>
    <w:rsid w:val="00EC5CDA"/>
    <w:rsid w:val="00F34703"/>
    <w:rsid w:val="00F6183C"/>
    <w:rsid w:val="00F96E08"/>
    <w:rsid w:val="00FA1D8F"/>
    <w:rsid w:val="00FA44F7"/>
    <w:rsid w:val="00FB23BC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86774"/>
  <w15:docId w15:val="{F585284B-77CE-41F5-9BB9-73B5528D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D680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812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127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127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12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127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7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7B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4A25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35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54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535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547"/>
    <w:rPr>
      <w:rFonts w:ascii="Times" w:hAnsi="Times"/>
    </w:rPr>
  </w:style>
  <w:style w:type="paragraph" w:styleId="Revisione">
    <w:name w:val="Revision"/>
    <w:hidden/>
    <w:uiPriority w:val="99"/>
    <w:semiHidden/>
    <w:rsid w:val="006205C0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ennis-howitt-duncan-cramer/metodologia-della-ricerca-in-psicologia-ediz-mylab-9788891909671-6834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2003-03-27T10:42:00Z</cp:lastPrinted>
  <dcterms:created xsi:type="dcterms:W3CDTF">2022-06-10T10:06:00Z</dcterms:created>
  <dcterms:modified xsi:type="dcterms:W3CDTF">2022-12-16T10:58:00Z</dcterms:modified>
</cp:coreProperties>
</file>