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01942" w14:textId="77777777" w:rsidR="00EF39C7" w:rsidRPr="00EF39C7" w:rsidRDefault="00EF39C7" w:rsidP="00EF39C7">
      <w:pPr>
        <w:spacing w:before="480" w:after="0" w:line="240" w:lineRule="exact"/>
        <w:outlineLvl w:val="0"/>
        <w:rPr>
          <w:rFonts w:ascii="Times" w:eastAsia="Times New Roman" w:hAnsi="Times" w:cs="Times New Roman"/>
          <w:b/>
          <w:noProof/>
          <w:sz w:val="20"/>
          <w:szCs w:val="20"/>
          <w:lang w:eastAsia="it-IT"/>
        </w:rPr>
      </w:pPr>
      <w:r w:rsidRPr="00EF39C7">
        <w:rPr>
          <w:rFonts w:ascii="Times" w:eastAsia="Times New Roman" w:hAnsi="Times" w:cs="Times New Roman"/>
          <w:b/>
          <w:noProof/>
          <w:sz w:val="20"/>
          <w:szCs w:val="20"/>
          <w:lang w:eastAsia="it-IT"/>
        </w:rPr>
        <w:t xml:space="preserve">Economia politica </w:t>
      </w:r>
    </w:p>
    <w:p w14:paraId="41A5F31C" w14:textId="01FA8CB5" w:rsidR="00EF39C7" w:rsidRPr="00EF39C7" w:rsidRDefault="00EF39C7" w:rsidP="00EF39C7">
      <w:pPr>
        <w:spacing w:after="0" w:line="240" w:lineRule="exact"/>
        <w:outlineLvl w:val="1"/>
        <w:rPr>
          <w:rFonts w:ascii="Times" w:eastAsia="Times New Roman" w:hAnsi="Times" w:cs="Times New Roman"/>
          <w:smallCaps/>
          <w:noProof/>
          <w:sz w:val="18"/>
          <w:szCs w:val="20"/>
          <w:lang w:eastAsia="it-IT"/>
        </w:rPr>
      </w:pPr>
      <w:r w:rsidRPr="00EF39C7">
        <w:rPr>
          <w:rFonts w:ascii="Times" w:eastAsia="Times New Roman" w:hAnsi="Times" w:cs="Times New Roman"/>
          <w:smallCaps/>
          <w:noProof/>
          <w:sz w:val="18"/>
          <w:szCs w:val="20"/>
          <w:lang w:eastAsia="it-IT"/>
        </w:rPr>
        <w:t>Prof</w:t>
      </w:r>
      <w:r w:rsidR="004726C8">
        <w:rPr>
          <w:rFonts w:ascii="Times" w:eastAsia="Times New Roman" w:hAnsi="Times" w:cs="Times New Roman"/>
          <w:smallCaps/>
          <w:noProof/>
          <w:sz w:val="18"/>
          <w:szCs w:val="20"/>
          <w:lang w:eastAsia="it-IT"/>
        </w:rPr>
        <w:t>f</w:t>
      </w:r>
      <w:r w:rsidRPr="00EF39C7">
        <w:rPr>
          <w:rFonts w:ascii="Times" w:eastAsia="Times New Roman" w:hAnsi="Times" w:cs="Times New Roman"/>
          <w:smallCaps/>
          <w:noProof/>
          <w:sz w:val="18"/>
          <w:szCs w:val="20"/>
          <w:lang w:eastAsia="it-IT"/>
        </w:rPr>
        <w:t>. Stefano Pareglio</w:t>
      </w:r>
      <w:r w:rsidR="004726C8">
        <w:rPr>
          <w:rFonts w:ascii="Times" w:eastAsia="Times New Roman" w:hAnsi="Times" w:cs="Times New Roman"/>
          <w:smallCaps/>
          <w:noProof/>
          <w:sz w:val="18"/>
          <w:szCs w:val="20"/>
          <w:lang w:eastAsia="it-IT"/>
        </w:rPr>
        <w:t>, Giovanni Guastella</w:t>
      </w:r>
    </w:p>
    <w:p w14:paraId="166C55DC" w14:textId="77777777" w:rsidR="00EF39C7" w:rsidRPr="00EF39C7" w:rsidRDefault="00EF39C7" w:rsidP="00EF39C7">
      <w:pPr>
        <w:tabs>
          <w:tab w:val="left" w:pos="284"/>
        </w:tabs>
        <w:spacing w:before="240" w:after="120" w:line="240" w:lineRule="exact"/>
        <w:jc w:val="both"/>
        <w:rPr>
          <w:rFonts w:ascii="Times" w:eastAsia="Times New Roman" w:hAnsi="Times" w:cs="Times New Roman"/>
          <w:b/>
          <w:sz w:val="18"/>
          <w:szCs w:val="20"/>
          <w:lang w:eastAsia="it-IT"/>
        </w:rPr>
      </w:pPr>
      <w:r w:rsidRPr="00EF39C7">
        <w:rPr>
          <w:rFonts w:ascii="Times" w:eastAsia="Times New Roman" w:hAnsi="Times" w:cs="Times New Roman"/>
          <w:b/>
          <w:i/>
          <w:sz w:val="18"/>
          <w:szCs w:val="20"/>
          <w:lang w:eastAsia="it-IT"/>
        </w:rPr>
        <w:t>OBIETTIVO DEL CORSO E RISULTATI DI APPRENDIMENTO ATTESI</w:t>
      </w:r>
    </w:p>
    <w:p w14:paraId="5526A6D9" w14:textId="77777777" w:rsidR="00EF39C7" w:rsidRPr="00EF39C7" w:rsidRDefault="00EF39C7" w:rsidP="00EF39C7">
      <w:pPr>
        <w:tabs>
          <w:tab w:val="left" w:pos="284"/>
        </w:tabs>
        <w:spacing w:after="0" w:line="240" w:lineRule="exact"/>
        <w:jc w:val="both"/>
        <w:rPr>
          <w:rFonts w:ascii="Times" w:eastAsia="Times New Roman" w:hAnsi="Times" w:cs="Times New Roman"/>
          <w:sz w:val="20"/>
          <w:szCs w:val="20"/>
          <w:lang w:eastAsia="it-IT"/>
        </w:rPr>
      </w:pPr>
      <w:r w:rsidRPr="00EF39C7">
        <w:rPr>
          <w:rFonts w:ascii="Times" w:eastAsia="Times New Roman" w:hAnsi="Times" w:cs="Times New Roman"/>
          <w:sz w:val="20"/>
          <w:szCs w:val="20"/>
          <w:lang w:eastAsia="it-IT"/>
        </w:rPr>
        <w:t xml:space="preserve">L’insegnamento si propone di fornire agli studenti le nozioni di base </w:t>
      </w:r>
      <w:r w:rsidR="001D4E8C">
        <w:rPr>
          <w:rFonts w:ascii="Times" w:eastAsia="Times New Roman" w:hAnsi="Times" w:cs="Times New Roman"/>
          <w:sz w:val="20"/>
          <w:szCs w:val="20"/>
          <w:lang w:eastAsia="it-IT"/>
        </w:rPr>
        <w:t xml:space="preserve">dell’economia politica. L’insegnamento è composto di due parti. Una parte di </w:t>
      </w:r>
      <w:r w:rsidRPr="00EF39C7">
        <w:rPr>
          <w:rFonts w:ascii="Times" w:eastAsia="Times New Roman" w:hAnsi="Times" w:cs="Times New Roman"/>
          <w:sz w:val="20"/>
          <w:szCs w:val="20"/>
          <w:lang w:eastAsia="it-IT"/>
        </w:rPr>
        <w:t>microeconomia</w:t>
      </w:r>
      <w:r w:rsidR="001D4E8C">
        <w:rPr>
          <w:rFonts w:ascii="Times" w:eastAsia="Times New Roman" w:hAnsi="Times" w:cs="Times New Roman"/>
          <w:sz w:val="20"/>
          <w:szCs w:val="20"/>
          <w:lang w:eastAsia="it-IT"/>
        </w:rPr>
        <w:t xml:space="preserve">, in cui si approfondisce lo studio degli strumenti </w:t>
      </w:r>
      <w:r w:rsidRPr="00EF39C7">
        <w:rPr>
          <w:rFonts w:ascii="Times" w:eastAsia="Times New Roman" w:hAnsi="Times" w:cs="Times New Roman"/>
          <w:sz w:val="20"/>
          <w:szCs w:val="20"/>
          <w:lang w:eastAsia="it-IT"/>
        </w:rPr>
        <w:t xml:space="preserve">utili a comprendere il comportamento dei consumatori e dei produttori e ad apprezzare i presupposti e gli effetti degli equilibri di mercato. </w:t>
      </w:r>
      <w:r w:rsidR="001D4E8C">
        <w:rPr>
          <w:rFonts w:ascii="Times" w:eastAsia="Times New Roman" w:hAnsi="Times" w:cs="Times New Roman"/>
          <w:sz w:val="20"/>
          <w:szCs w:val="20"/>
          <w:lang w:eastAsia="it-IT"/>
        </w:rPr>
        <w:t>Una parte di macroeconomia, in cui si definiscono</w:t>
      </w:r>
      <w:r w:rsidR="001D4E8C" w:rsidRPr="001D4E8C">
        <w:rPr>
          <w:rFonts w:ascii="Times" w:eastAsia="Times New Roman" w:hAnsi="Times" w:cs="Times New Roman"/>
          <w:sz w:val="20"/>
          <w:szCs w:val="20"/>
          <w:lang w:eastAsia="it-IT"/>
        </w:rPr>
        <w:t xml:space="preserve"> i principali aggregati macroeconomici, quali produzione, occupazione, inflazione, e </w:t>
      </w:r>
      <w:r w:rsidR="001D4E8C">
        <w:rPr>
          <w:rFonts w:ascii="Times" w:eastAsia="Times New Roman" w:hAnsi="Times" w:cs="Times New Roman"/>
          <w:sz w:val="20"/>
          <w:szCs w:val="20"/>
          <w:lang w:eastAsia="it-IT"/>
        </w:rPr>
        <w:t xml:space="preserve">si introducono alcuni modelli elementari utili </w:t>
      </w:r>
      <w:r w:rsidR="001D4E8C" w:rsidRPr="001D4E8C">
        <w:rPr>
          <w:rFonts w:ascii="Times" w:eastAsia="Times New Roman" w:hAnsi="Times" w:cs="Times New Roman"/>
          <w:sz w:val="20"/>
          <w:szCs w:val="20"/>
          <w:lang w:eastAsia="it-IT"/>
        </w:rPr>
        <w:t>a interpretarne le dinamiche</w:t>
      </w:r>
      <w:r w:rsidR="001D4E8C">
        <w:rPr>
          <w:rFonts w:ascii="Times" w:eastAsia="Times New Roman" w:hAnsi="Times" w:cs="Times New Roman"/>
          <w:sz w:val="20"/>
          <w:szCs w:val="20"/>
          <w:lang w:eastAsia="it-IT"/>
        </w:rPr>
        <w:t>.</w:t>
      </w:r>
    </w:p>
    <w:p w14:paraId="46DBA913" w14:textId="77777777" w:rsidR="001D4E8C" w:rsidRPr="001D4E8C" w:rsidRDefault="00EF39C7" w:rsidP="001D4E8C">
      <w:pPr>
        <w:tabs>
          <w:tab w:val="left" w:pos="284"/>
        </w:tabs>
        <w:spacing w:after="0" w:line="240" w:lineRule="exact"/>
        <w:jc w:val="both"/>
        <w:rPr>
          <w:rFonts w:ascii="Times" w:eastAsia="Times New Roman" w:hAnsi="Times" w:cs="Times New Roman"/>
          <w:sz w:val="20"/>
          <w:szCs w:val="20"/>
          <w:lang w:eastAsia="it-IT"/>
        </w:rPr>
      </w:pPr>
      <w:r w:rsidRPr="00EF39C7">
        <w:rPr>
          <w:rFonts w:ascii="Times" w:eastAsia="Times New Roman" w:hAnsi="Times" w:cs="Times New Roman"/>
          <w:sz w:val="20"/>
          <w:szCs w:val="20"/>
          <w:lang w:eastAsia="it-IT"/>
        </w:rPr>
        <w:t>Al termine dell’insegnamento lo studente avrà maturato la capacità di</w:t>
      </w:r>
      <w:r w:rsidR="001D4E8C">
        <w:rPr>
          <w:rFonts w:ascii="Times" w:eastAsia="Times New Roman" w:hAnsi="Times" w:cs="Times New Roman"/>
          <w:sz w:val="20"/>
          <w:szCs w:val="20"/>
          <w:lang w:eastAsia="it-IT"/>
        </w:rPr>
        <w:t xml:space="preserve"> </w:t>
      </w:r>
      <w:r w:rsidRPr="001D4E8C">
        <w:rPr>
          <w:rFonts w:ascii="Times" w:eastAsia="Times New Roman" w:hAnsi="Times" w:cs="Times New Roman"/>
          <w:sz w:val="20"/>
          <w:szCs w:val="20"/>
          <w:lang w:eastAsia="it-IT"/>
        </w:rPr>
        <w:t xml:space="preserve">analizzare autonomamente come le preferenze dei consumatori influenzano la domanda di un bene, come la struttura dei costi delle imprese determina l’offerta di un bene e come cambia il comportamento dei produttori e l’equilibrio di mercato, in termini di quantità offerta di un bene e prezzo, al variare delle forme di mercato. </w:t>
      </w:r>
      <w:r w:rsidR="001D4E8C">
        <w:rPr>
          <w:rFonts w:ascii="Times" w:eastAsia="Times New Roman" w:hAnsi="Times" w:cs="Times New Roman"/>
          <w:sz w:val="20"/>
          <w:szCs w:val="20"/>
          <w:lang w:eastAsia="it-IT"/>
        </w:rPr>
        <w:t xml:space="preserve">Avrà </w:t>
      </w:r>
      <w:r w:rsidR="00942F4C">
        <w:rPr>
          <w:rFonts w:ascii="Times" w:eastAsia="Times New Roman" w:hAnsi="Times" w:cs="Times New Roman"/>
          <w:sz w:val="20"/>
          <w:szCs w:val="20"/>
          <w:lang w:eastAsia="it-IT"/>
        </w:rPr>
        <w:t xml:space="preserve">poi </w:t>
      </w:r>
      <w:r w:rsidR="001D4E8C" w:rsidRPr="001D4E8C">
        <w:rPr>
          <w:rFonts w:ascii="Times" w:eastAsia="Times New Roman" w:hAnsi="Times" w:cs="Times New Roman"/>
          <w:sz w:val="20"/>
          <w:szCs w:val="20"/>
          <w:lang w:eastAsia="it-IT"/>
        </w:rPr>
        <w:t>familiarizzato con la nozione di equilibrio di mercato e acquisito la padronanza degli strumenti di base dell’analisi macroeconomica</w:t>
      </w:r>
      <w:r w:rsidR="00942F4C">
        <w:rPr>
          <w:rFonts w:ascii="Times" w:eastAsia="Times New Roman" w:hAnsi="Times" w:cs="Times New Roman"/>
          <w:sz w:val="20"/>
          <w:szCs w:val="20"/>
          <w:lang w:eastAsia="it-IT"/>
        </w:rPr>
        <w:t xml:space="preserve"> e avrà maturato la </w:t>
      </w:r>
      <w:r w:rsidR="001D4E8C" w:rsidRPr="001D4E8C">
        <w:rPr>
          <w:rFonts w:ascii="Times" w:eastAsia="Times New Roman" w:hAnsi="Times" w:cs="Times New Roman"/>
          <w:sz w:val="20"/>
          <w:szCs w:val="20"/>
          <w:lang w:eastAsia="it-IT"/>
        </w:rPr>
        <w:t>capacità di analizzare autonomamente il ruolo delle politiche fiscali e monetarie sull’economia nel breve e nel medio termine</w:t>
      </w:r>
      <w:r w:rsidR="00942F4C">
        <w:rPr>
          <w:rFonts w:ascii="Times" w:eastAsia="Times New Roman" w:hAnsi="Times" w:cs="Times New Roman"/>
          <w:sz w:val="20"/>
          <w:szCs w:val="20"/>
          <w:lang w:eastAsia="it-IT"/>
        </w:rPr>
        <w:t>.</w:t>
      </w:r>
    </w:p>
    <w:p w14:paraId="73F21A5C" w14:textId="77777777" w:rsidR="00EF39C7" w:rsidRPr="001D4E8C" w:rsidRDefault="00EF39C7" w:rsidP="001D4E8C">
      <w:pPr>
        <w:tabs>
          <w:tab w:val="left" w:pos="284"/>
        </w:tabs>
        <w:spacing w:after="0" w:line="240" w:lineRule="exact"/>
        <w:jc w:val="both"/>
        <w:rPr>
          <w:rFonts w:ascii="Times" w:eastAsia="Times New Roman" w:hAnsi="Times" w:cs="Times New Roman"/>
          <w:sz w:val="20"/>
          <w:szCs w:val="20"/>
          <w:lang w:eastAsia="it-IT"/>
        </w:rPr>
      </w:pPr>
      <w:r w:rsidRPr="001D4E8C">
        <w:rPr>
          <w:rFonts w:ascii="Times" w:eastAsia="Times New Roman" w:hAnsi="Times" w:cs="Times New Roman"/>
          <w:sz w:val="20"/>
          <w:szCs w:val="20"/>
          <w:lang w:eastAsia="it-IT"/>
        </w:rPr>
        <w:t>L’alternanza di nozioni teoriche a casi studio durante le lezioni permetterà allo studente di sviluppare la capacità di applicare autonomamente i concetti appresi allo studio di casi specifici.</w:t>
      </w:r>
    </w:p>
    <w:p w14:paraId="29EA412C" w14:textId="77777777" w:rsidR="00EF39C7" w:rsidRPr="00EF39C7" w:rsidRDefault="00EF39C7" w:rsidP="00EF39C7">
      <w:pPr>
        <w:tabs>
          <w:tab w:val="left" w:pos="284"/>
        </w:tabs>
        <w:spacing w:before="240" w:after="120" w:line="240" w:lineRule="exact"/>
        <w:jc w:val="both"/>
        <w:rPr>
          <w:rFonts w:ascii="Times" w:eastAsia="Times New Roman" w:hAnsi="Times" w:cs="Times New Roman"/>
          <w:b/>
          <w:sz w:val="18"/>
          <w:szCs w:val="20"/>
          <w:lang w:eastAsia="it-IT"/>
        </w:rPr>
      </w:pPr>
      <w:r w:rsidRPr="00EF39C7">
        <w:rPr>
          <w:rFonts w:ascii="Times" w:eastAsia="Times New Roman" w:hAnsi="Times" w:cs="Times New Roman"/>
          <w:b/>
          <w:i/>
          <w:sz w:val="18"/>
          <w:szCs w:val="20"/>
          <w:lang w:eastAsia="it-IT"/>
        </w:rPr>
        <w:t>PROGRAMMA DEL CORSO</w:t>
      </w:r>
    </w:p>
    <w:p w14:paraId="1AD2F14E" w14:textId="77777777" w:rsidR="00EF39C7" w:rsidRDefault="00EF39C7" w:rsidP="00EF39C7">
      <w:pPr>
        <w:tabs>
          <w:tab w:val="left" w:pos="284"/>
        </w:tabs>
        <w:spacing w:after="0" w:line="240" w:lineRule="exact"/>
        <w:jc w:val="both"/>
        <w:rPr>
          <w:rFonts w:ascii="Times" w:eastAsia="Times New Roman" w:hAnsi="Times" w:cs="Times New Roman"/>
          <w:sz w:val="20"/>
          <w:szCs w:val="20"/>
          <w:lang w:eastAsia="it-IT"/>
        </w:rPr>
      </w:pPr>
      <w:r w:rsidRPr="00EF39C7">
        <w:rPr>
          <w:rFonts w:ascii="Times" w:eastAsia="Times New Roman" w:hAnsi="Times" w:cs="Times New Roman"/>
          <w:sz w:val="20"/>
          <w:szCs w:val="20"/>
          <w:lang w:eastAsia="it-IT"/>
        </w:rPr>
        <w:t>Presentazione del Corso</w:t>
      </w:r>
    </w:p>
    <w:p w14:paraId="297FF948" w14:textId="77777777" w:rsidR="00942F4C" w:rsidRPr="00942F4C" w:rsidRDefault="00942F4C" w:rsidP="00EF39C7">
      <w:pPr>
        <w:tabs>
          <w:tab w:val="left" w:pos="284"/>
        </w:tabs>
        <w:spacing w:after="0" w:line="240" w:lineRule="exact"/>
        <w:jc w:val="both"/>
        <w:rPr>
          <w:rFonts w:ascii="Times" w:eastAsia="Times New Roman" w:hAnsi="Times" w:cs="Times New Roman"/>
          <w:i/>
          <w:sz w:val="20"/>
          <w:szCs w:val="20"/>
          <w:lang w:eastAsia="it-IT"/>
        </w:rPr>
      </w:pPr>
      <w:r>
        <w:rPr>
          <w:rFonts w:ascii="Times" w:eastAsia="Times New Roman" w:hAnsi="Times" w:cs="Times New Roman"/>
          <w:i/>
          <w:sz w:val="20"/>
          <w:szCs w:val="20"/>
          <w:lang w:eastAsia="it-IT"/>
        </w:rPr>
        <w:t>Parte di Microeconomia</w:t>
      </w:r>
    </w:p>
    <w:p w14:paraId="2D8AFE9F" w14:textId="77777777" w:rsidR="00EF39C7" w:rsidRPr="00EF39C7" w:rsidRDefault="00EF39C7" w:rsidP="00EF39C7">
      <w:pPr>
        <w:tabs>
          <w:tab w:val="left" w:pos="284"/>
        </w:tabs>
        <w:spacing w:after="0" w:line="240" w:lineRule="exact"/>
        <w:jc w:val="both"/>
        <w:rPr>
          <w:rFonts w:ascii="Times" w:eastAsia="Times New Roman" w:hAnsi="Times" w:cs="Times New Roman"/>
          <w:sz w:val="20"/>
          <w:szCs w:val="20"/>
          <w:lang w:eastAsia="it-IT"/>
        </w:rPr>
      </w:pPr>
      <w:r w:rsidRPr="00EF39C7">
        <w:rPr>
          <w:rFonts w:ascii="Times" w:eastAsia="Times New Roman" w:hAnsi="Times" w:cs="Times New Roman"/>
          <w:sz w:val="20"/>
          <w:szCs w:val="20"/>
          <w:lang w:eastAsia="it-IT"/>
        </w:rPr>
        <w:t>Microeconomia: ambito disciplinare e strumenti di analisi.</w:t>
      </w:r>
    </w:p>
    <w:p w14:paraId="4856EDD5" w14:textId="77777777" w:rsidR="00EF39C7" w:rsidRPr="00EF39C7" w:rsidRDefault="00EF39C7" w:rsidP="00EF39C7">
      <w:pPr>
        <w:tabs>
          <w:tab w:val="left" w:pos="284"/>
        </w:tabs>
        <w:spacing w:after="0" w:line="240" w:lineRule="exact"/>
        <w:jc w:val="both"/>
        <w:rPr>
          <w:rFonts w:ascii="Times" w:eastAsia="Times New Roman" w:hAnsi="Times" w:cs="Times New Roman"/>
          <w:sz w:val="20"/>
          <w:szCs w:val="20"/>
          <w:lang w:eastAsia="it-IT"/>
        </w:rPr>
      </w:pPr>
      <w:r w:rsidRPr="00EF39C7">
        <w:rPr>
          <w:rFonts w:ascii="Times" w:eastAsia="Times New Roman" w:hAnsi="Times" w:cs="Times New Roman"/>
          <w:sz w:val="20"/>
          <w:szCs w:val="20"/>
          <w:lang w:eastAsia="it-IT"/>
        </w:rPr>
        <w:t>Comportamento del consumatore: gusti e preferenze; utilità e benessere; utilità marginale; curve di indifferenza, saggio marginale di sostituzione; vincolo di bilancio; equilibrio del consumatore; domanda individuale e di mercato; surplus del consumatore e del produttore; effetto sostituzione ed effetto reddito nella variazione dei prezzi; elasticità della domanda: al prezzo (e curve di Engel), al reddito e al prezzo di altri beni.</w:t>
      </w:r>
    </w:p>
    <w:p w14:paraId="49EED693" w14:textId="77777777" w:rsidR="00EF39C7" w:rsidRPr="00EF39C7" w:rsidRDefault="00EF39C7" w:rsidP="00EF39C7">
      <w:pPr>
        <w:tabs>
          <w:tab w:val="left" w:pos="284"/>
        </w:tabs>
        <w:spacing w:after="0" w:line="240" w:lineRule="exact"/>
        <w:jc w:val="both"/>
        <w:rPr>
          <w:rFonts w:ascii="Times" w:eastAsia="Times New Roman" w:hAnsi="Times" w:cs="Times New Roman"/>
          <w:sz w:val="20"/>
          <w:szCs w:val="20"/>
          <w:lang w:eastAsia="it-IT"/>
        </w:rPr>
      </w:pPr>
      <w:r w:rsidRPr="00EF39C7">
        <w:rPr>
          <w:rFonts w:ascii="Times" w:eastAsia="Times New Roman" w:hAnsi="Times" w:cs="Times New Roman"/>
          <w:sz w:val="20"/>
          <w:szCs w:val="20"/>
          <w:lang w:eastAsia="it-IT"/>
        </w:rPr>
        <w:t xml:space="preserve">Teoria dell’impresa: analisi dell’offerta; ricavo totale e marginale; rendimenti marginali decrescenti; fattori e costi di produzione; periodo di riferimento; tecnologia e funzione di produzione; prodotto totale, medio e marginale; stadi della </w:t>
      </w:r>
      <w:r w:rsidRPr="00EF39C7">
        <w:rPr>
          <w:rFonts w:ascii="Times" w:eastAsia="Times New Roman" w:hAnsi="Times" w:cs="Times New Roman"/>
          <w:sz w:val="20"/>
          <w:szCs w:val="20"/>
          <w:lang w:eastAsia="it-IT"/>
        </w:rPr>
        <w:lastRenderedPageBreak/>
        <w:t>produzione; isoquanto; saggio marginale di sostituzione tecnica; combinazione ottimale dei fattori di produzione; isocosto; funzioni di costo totale, medio e marginale nel breve e nel lungo periodo; livello ‘ottimo’ di produzione; economie e diseconomie di scala; saggio marginale di trasformazione e combinazione ‘ottima’ tra prodotti.</w:t>
      </w:r>
    </w:p>
    <w:p w14:paraId="6AAAA934" w14:textId="77777777" w:rsidR="00EF39C7" w:rsidRDefault="00EF39C7" w:rsidP="00EF39C7">
      <w:pPr>
        <w:tabs>
          <w:tab w:val="left" w:pos="284"/>
        </w:tabs>
        <w:spacing w:after="0" w:line="240" w:lineRule="exact"/>
        <w:jc w:val="both"/>
        <w:rPr>
          <w:rFonts w:ascii="Times" w:eastAsia="Times New Roman" w:hAnsi="Times" w:cs="Times New Roman"/>
          <w:sz w:val="20"/>
          <w:szCs w:val="20"/>
          <w:lang w:eastAsia="it-IT"/>
        </w:rPr>
      </w:pPr>
      <w:r w:rsidRPr="00EF39C7">
        <w:rPr>
          <w:rFonts w:ascii="Times" w:eastAsia="Times New Roman" w:hAnsi="Times" w:cs="Times New Roman"/>
          <w:sz w:val="20"/>
          <w:szCs w:val="20"/>
          <w:lang w:eastAsia="it-IT"/>
        </w:rPr>
        <w:t>Forme di mercato: classificazione e caratteri delle diverse forme di mercato; concorrenza perfetta (condizioni e equilibrio nel breve e nel lungo periodo, instabilità e sentiero di [</w:t>
      </w:r>
      <w:proofErr w:type="spellStart"/>
      <w:r w:rsidRPr="00EF39C7">
        <w:rPr>
          <w:rFonts w:ascii="Times" w:eastAsia="Times New Roman" w:hAnsi="Times" w:cs="Times New Roman"/>
          <w:sz w:val="20"/>
          <w:szCs w:val="20"/>
          <w:lang w:eastAsia="it-IT"/>
        </w:rPr>
        <w:t>dis</w:t>
      </w:r>
      <w:proofErr w:type="spellEnd"/>
      <w:r w:rsidRPr="00EF39C7">
        <w:rPr>
          <w:rFonts w:ascii="Times" w:eastAsia="Times New Roman" w:hAnsi="Times" w:cs="Times New Roman"/>
          <w:sz w:val="20"/>
          <w:szCs w:val="20"/>
          <w:lang w:eastAsia="it-IT"/>
        </w:rPr>
        <w:t>]equilibrio); concorrenza perfetta e benessere sociale; monopolio (condizioni, classificazione, differenziazione di prezzo, potere del monopolista, confronto con concorrenza perfetta); monopsonio e monopolio bilaterale; concorrenza monopolistica (condizioni, comportamento dell’impresa, equilibrio); oligopolio (caratteri, comportamento dell’impresa, equilibrio, effetti, tipi di coalizione); interazione strategica e introduzione alla teoria dei giochi.</w:t>
      </w:r>
    </w:p>
    <w:p w14:paraId="302A2DFF" w14:textId="77777777" w:rsidR="00942F4C" w:rsidRPr="00EF39C7" w:rsidRDefault="00942F4C" w:rsidP="00EF39C7">
      <w:pPr>
        <w:tabs>
          <w:tab w:val="left" w:pos="284"/>
        </w:tabs>
        <w:spacing w:after="0" w:line="240" w:lineRule="exact"/>
        <w:jc w:val="both"/>
        <w:rPr>
          <w:rFonts w:ascii="Times" w:eastAsia="Times New Roman" w:hAnsi="Times" w:cs="Times New Roman"/>
          <w:sz w:val="20"/>
          <w:szCs w:val="20"/>
          <w:lang w:eastAsia="it-IT"/>
        </w:rPr>
      </w:pPr>
    </w:p>
    <w:p w14:paraId="5D335E03" w14:textId="77777777" w:rsidR="00EF39C7" w:rsidRDefault="00942F4C" w:rsidP="00EF39C7">
      <w:pPr>
        <w:tabs>
          <w:tab w:val="left" w:pos="284"/>
        </w:tabs>
        <w:spacing w:after="0" w:line="240" w:lineRule="exact"/>
        <w:jc w:val="both"/>
        <w:rPr>
          <w:rFonts w:ascii="Times" w:eastAsia="Times New Roman" w:hAnsi="Times" w:cs="Times New Roman"/>
          <w:i/>
          <w:sz w:val="20"/>
          <w:szCs w:val="20"/>
          <w:lang w:eastAsia="it-IT"/>
        </w:rPr>
      </w:pPr>
      <w:r>
        <w:rPr>
          <w:rFonts w:ascii="Times" w:eastAsia="Times New Roman" w:hAnsi="Times" w:cs="Times New Roman"/>
          <w:i/>
          <w:sz w:val="20"/>
          <w:szCs w:val="20"/>
          <w:lang w:eastAsia="it-IT"/>
        </w:rPr>
        <w:t>Parte di Macroeconomia</w:t>
      </w:r>
    </w:p>
    <w:p w14:paraId="16AA72C8" w14:textId="77777777" w:rsidR="00942F4C" w:rsidRPr="00942F4C" w:rsidRDefault="00942F4C" w:rsidP="00942F4C">
      <w:pPr>
        <w:tabs>
          <w:tab w:val="left" w:pos="284"/>
        </w:tabs>
        <w:spacing w:after="0" w:line="240" w:lineRule="exact"/>
        <w:jc w:val="both"/>
        <w:rPr>
          <w:rFonts w:ascii="Times" w:eastAsia="Times New Roman" w:hAnsi="Times" w:cs="Times New Roman"/>
          <w:sz w:val="20"/>
          <w:szCs w:val="20"/>
          <w:lang w:eastAsia="it-IT"/>
        </w:rPr>
      </w:pPr>
      <w:r w:rsidRPr="00942F4C">
        <w:rPr>
          <w:rFonts w:ascii="Times" w:eastAsia="Times New Roman" w:hAnsi="Times" w:cs="Times New Roman"/>
          <w:sz w:val="20"/>
          <w:szCs w:val="20"/>
          <w:lang w:eastAsia="it-IT"/>
        </w:rPr>
        <w:t>Scenari: la recente crisi economica, in termini di presupposti, sviluppo ed esiti; le condizioni macroeconomiche di Stati Uniti d’America, Europa, Cina, Italia e delle economie emergenti.</w:t>
      </w:r>
    </w:p>
    <w:p w14:paraId="24022665" w14:textId="77777777" w:rsidR="00942F4C" w:rsidRPr="00942F4C" w:rsidRDefault="00942F4C" w:rsidP="00942F4C">
      <w:pPr>
        <w:tabs>
          <w:tab w:val="left" w:pos="284"/>
        </w:tabs>
        <w:spacing w:after="0" w:line="240" w:lineRule="exact"/>
        <w:jc w:val="both"/>
        <w:rPr>
          <w:rFonts w:ascii="Times" w:eastAsia="Times New Roman" w:hAnsi="Times" w:cs="Times New Roman"/>
          <w:sz w:val="20"/>
          <w:szCs w:val="20"/>
          <w:lang w:eastAsia="it-IT"/>
        </w:rPr>
      </w:pPr>
      <w:r w:rsidRPr="00942F4C">
        <w:rPr>
          <w:rFonts w:ascii="Times" w:eastAsia="Times New Roman" w:hAnsi="Times" w:cs="Times New Roman"/>
          <w:sz w:val="20"/>
          <w:szCs w:val="20"/>
          <w:lang w:eastAsia="it-IT"/>
        </w:rPr>
        <w:t>Produzione aggregata (PIL e deflatore del PIL); tasso di disoccupazione; tasso di inflazione (e di deflazione); breve, medio e lungo periodo.</w:t>
      </w:r>
    </w:p>
    <w:p w14:paraId="0187ABF7" w14:textId="77777777" w:rsidR="00942F4C" w:rsidRPr="00942F4C" w:rsidRDefault="00942F4C" w:rsidP="00942F4C">
      <w:pPr>
        <w:tabs>
          <w:tab w:val="left" w:pos="284"/>
        </w:tabs>
        <w:spacing w:after="0" w:line="240" w:lineRule="exact"/>
        <w:jc w:val="both"/>
        <w:rPr>
          <w:rFonts w:ascii="Times" w:eastAsia="Times New Roman" w:hAnsi="Times" w:cs="Times New Roman"/>
          <w:sz w:val="20"/>
          <w:szCs w:val="20"/>
          <w:lang w:eastAsia="it-IT"/>
        </w:rPr>
      </w:pPr>
      <w:r w:rsidRPr="00942F4C">
        <w:rPr>
          <w:rFonts w:ascii="Times" w:eastAsia="Times New Roman" w:hAnsi="Times" w:cs="Times New Roman"/>
          <w:sz w:val="20"/>
          <w:szCs w:val="20"/>
          <w:lang w:eastAsia="it-IT"/>
        </w:rPr>
        <w:t>Il mercato dei beni: composizione del PIL; domanda di beni (consumo, investimento e spesa pubblica); determinazione della produzione di equilibrio; investimento e risparmio; ruolo del governo centrale.</w:t>
      </w:r>
    </w:p>
    <w:p w14:paraId="4CDCC9D8" w14:textId="77777777" w:rsidR="00942F4C" w:rsidRPr="00942F4C" w:rsidRDefault="00942F4C" w:rsidP="00942F4C">
      <w:pPr>
        <w:tabs>
          <w:tab w:val="left" w:pos="284"/>
        </w:tabs>
        <w:spacing w:after="0" w:line="240" w:lineRule="exact"/>
        <w:jc w:val="both"/>
        <w:rPr>
          <w:rFonts w:ascii="Times" w:eastAsia="Times New Roman" w:hAnsi="Times" w:cs="Times New Roman"/>
          <w:sz w:val="20"/>
          <w:szCs w:val="20"/>
          <w:lang w:eastAsia="it-IT"/>
        </w:rPr>
      </w:pPr>
      <w:r w:rsidRPr="00942F4C">
        <w:rPr>
          <w:rFonts w:ascii="Times" w:eastAsia="Times New Roman" w:hAnsi="Times" w:cs="Times New Roman"/>
          <w:sz w:val="20"/>
          <w:szCs w:val="20"/>
          <w:lang w:eastAsia="it-IT"/>
        </w:rPr>
        <w:t>I mercati finanziari: domanda e offerta di moneta; determinazione del tasso di interesse; politica monetaria; banche e banca centrale; equilibrio finanziario.</w:t>
      </w:r>
    </w:p>
    <w:p w14:paraId="4D383644" w14:textId="77777777" w:rsidR="00942F4C" w:rsidRPr="00942F4C" w:rsidRDefault="00942F4C" w:rsidP="00942F4C">
      <w:pPr>
        <w:tabs>
          <w:tab w:val="left" w:pos="284"/>
        </w:tabs>
        <w:spacing w:after="0" w:line="240" w:lineRule="exact"/>
        <w:jc w:val="both"/>
        <w:rPr>
          <w:rFonts w:ascii="Times" w:eastAsia="Times New Roman" w:hAnsi="Times" w:cs="Times New Roman"/>
          <w:sz w:val="20"/>
          <w:szCs w:val="20"/>
          <w:lang w:eastAsia="it-IT"/>
        </w:rPr>
      </w:pPr>
      <w:r w:rsidRPr="00942F4C">
        <w:rPr>
          <w:rFonts w:ascii="Times" w:eastAsia="Times New Roman" w:hAnsi="Times" w:cs="Times New Roman"/>
          <w:sz w:val="20"/>
          <w:szCs w:val="20"/>
          <w:lang w:eastAsia="it-IT"/>
        </w:rPr>
        <w:t>Il modello IS-LM: mercato dei beni e curva IS; mercati finanziari e curva LM; equilibrio nel modello IS-LM; strumenti della politica economica.</w:t>
      </w:r>
    </w:p>
    <w:p w14:paraId="0086A8FF" w14:textId="03342BF6" w:rsidR="00942F4C" w:rsidRPr="00942F4C" w:rsidRDefault="00734195" w:rsidP="00942F4C">
      <w:pPr>
        <w:tabs>
          <w:tab w:val="left" w:pos="284"/>
        </w:tabs>
        <w:spacing w:after="0" w:line="240" w:lineRule="exact"/>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Rischio e crisi finanziarie: Il modello IS-LM esteso.</w:t>
      </w:r>
    </w:p>
    <w:p w14:paraId="4470AD9B" w14:textId="77777777" w:rsidR="00EF39C7" w:rsidRPr="00EF39C7" w:rsidRDefault="00EF39C7" w:rsidP="00EF39C7">
      <w:pPr>
        <w:keepNext/>
        <w:tabs>
          <w:tab w:val="left" w:pos="284"/>
        </w:tabs>
        <w:spacing w:before="240" w:after="120" w:line="240" w:lineRule="exact"/>
        <w:jc w:val="both"/>
        <w:rPr>
          <w:rFonts w:ascii="Times" w:eastAsia="Times New Roman" w:hAnsi="Times" w:cs="Times New Roman"/>
          <w:b/>
          <w:sz w:val="18"/>
          <w:szCs w:val="20"/>
          <w:lang w:eastAsia="it-IT"/>
        </w:rPr>
      </w:pPr>
      <w:r w:rsidRPr="00EF39C7">
        <w:rPr>
          <w:rFonts w:ascii="Times" w:eastAsia="Times New Roman" w:hAnsi="Times" w:cs="Times New Roman"/>
          <w:b/>
          <w:i/>
          <w:sz w:val="18"/>
          <w:szCs w:val="20"/>
          <w:lang w:eastAsia="it-IT"/>
        </w:rPr>
        <w:t>BIBLIOGRAFIA</w:t>
      </w:r>
    </w:p>
    <w:p w14:paraId="31C0EC66" w14:textId="6B3B9BA6" w:rsidR="00EF39C7" w:rsidRDefault="00EF39C7" w:rsidP="005005CF">
      <w:pPr>
        <w:spacing w:after="0" w:line="240" w:lineRule="exact"/>
        <w:ind w:left="284" w:hanging="284"/>
        <w:jc w:val="both"/>
        <w:rPr>
          <w:rFonts w:ascii="Times" w:eastAsia="Times New Roman" w:hAnsi="Times" w:cs="Times New Roman"/>
          <w:noProof/>
          <w:spacing w:val="-5"/>
          <w:sz w:val="18"/>
          <w:szCs w:val="20"/>
          <w:lang w:eastAsia="it-IT"/>
        </w:rPr>
      </w:pPr>
      <w:r w:rsidRPr="00EF39C7">
        <w:rPr>
          <w:rFonts w:ascii="Times" w:eastAsia="Times New Roman" w:hAnsi="Times" w:cs="Times New Roman"/>
          <w:smallCaps/>
          <w:noProof/>
          <w:spacing w:val="-5"/>
          <w:sz w:val="16"/>
          <w:szCs w:val="20"/>
          <w:lang w:eastAsia="it-IT"/>
        </w:rPr>
        <w:t>J.Sloman-D.Garratt,</w:t>
      </w:r>
      <w:r w:rsidRPr="00EF39C7">
        <w:rPr>
          <w:rFonts w:ascii="Times" w:eastAsia="Times New Roman" w:hAnsi="Times" w:cs="Times New Roman"/>
          <w:i/>
          <w:noProof/>
          <w:spacing w:val="-5"/>
          <w:sz w:val="18"/>
          <w:szCs w:val="20"/>
          <w:lang w:eastAsia="it-IT"/>
        </w:rPr>
        <w:t xml:space="preserve"> Microeconomia,</w:t>
      </w:r>
      <w:r w:rsidRPr="00EF39C7">
        <w:rPr>
          <w:rFonts w:ascii="Times" w:eastAsia="Times New Roman" w:hAnsi="Times" w:cs="Times New Roman"/>
          <w:noProof/>
          <w:spacing w:val="-5"/>
          <w:sz w:val="18"/>
          <w:szCs w:val="20"/>
          <w:lang w:eastAsia="it-IT"/>
        </w:rPr>
        <w:t xml:space="preserve"> Il Mulino, Bologna, </w:t>
      </w:r>
      <w:r w:rsidR="00734195">
        <w:rPr>
          <w:rFonts w:ascii="Times" w:eastAsia="Times New Roman" w:hAnsi="Times" w:cs="Times New Roman"/>
          <w:noProof/>
          <w:spacing w:val="-5"/>
          <w:sz w:val="18"/>
          <w:szCs w:val="20"/>
          <w:lang w:eastAsia="it-IT"/>
        </w:rPr>
        <w:t>2022</w:t>
      </w:r>
      <w:r w:rsidRPr="00EF39C7">
        <w:rPr>
          <w:rFonts w:ascii="Times" w:eastAsia="Times New Roman" w:hAnsi="Times" w:cs="Times New Roman"/>
          <w:noProof/>
          <w:spacing w:val="-5"/>
          <w:sz w:val="18"/>
          <w:szCs w:val="20"/>
          <w:lang w:eastAsia="it-IT"/>
        </w:rPr>
        <w:t>.</w:t>
      </w:r>
      <w:r w:rsidR="00E44FF5">
        <w:rPr>
          <w:rFonts w:ascii="Times" w:eastAsia="Times New Roman" w:hAnsi="Times" w:cs="Times New Roman"/>
          <w:noProof/>
          <w:spacing w:val="-5"/>
          <w:sz w:val="18"/>
          <w:szCs w:val="20"/>
          <w:lang w:eastAsia="it-IT"/>
        </w:rPr>
        <w:t xml:space="preserve"> </w:t>
      </w:r>
      <w:hyperlink r:id="rId5" w:history="1">
        <w:r w:rsidR="00E44FF5" w:rsidRPr="00E44FF5">
          <w:rPr>
            <w:rStyle w:val="Collegamentoipertestuale"/>
            <w:rFonts w:ascii="Times" w:eastAsia="Times New Roman" w:hAnsi="Times" w:cs="Times New Roman"/>
            <w:noProof/>
            <w:spacing w:val="-5"/>
            <w:sz w:val="18"/>
            <w:szCs w:val="20"/>
            <w:lang w:eastAsia="it-IT"/>
          </w:rPr>
          <w:t>Acquista da V&amp;P</w:t>
        </w:r>
      </w:hyperlink>
    </w:p>
    <w:p w14:paraId="5139DDC5" w14:textId="65D15E13" w:rsidR="00942F4C" w:rsidRPr="00905CE1" w:rsidRDefault="00942F4C" w:rsidP="005005CF">
      <w:pPr>
        <w:spacing w:after="0" w:line="240" w:lineRule="exact"/>
        <w:ind w:left="284" w:hanging="284"/>
        <w:jc w:val="both"/>
        <w:rPr>
          <w:rFonts w:ascii="Times" w:eastAsia="Times New Roman" w:hAnsi="Times" w:cs="Times New Roman"/>
          <w:noProof/>
          <w:spacing w:val="-5"/>
          <w:sz w:val="18"/>
          <w:szCs w:val="20"/>
          <w:lang w:eastAsia="it-IT"/>
        </w:rPr>
      </w:pPr>
      <w:r w:rsidRPr="00905CE1">
        <w:rPr>
          <w:rFonts w:ascii="Times" w:eastAsia="Times New Roman" w:hAnsi="Times" w:cs="Times New Roman"/>
          <w:smallCaps/>
          <w:noProof/>
          <w:spacing w:val="-5"/>
          <w:sz w:val="16"/>
          <w:szCs w:val="20"/>
          <w:lang w:val="en-US" w:eastAsia="it-IT"/>
        </w:rPr>
        <w:t xml:space="preserve">O. Blanchard-A. Amighini-F. </w:t>
      </w:r>
      <w:r w:rsidRPr="00905CE1">
        <w:rPr>
          <w:rFonts w:ascii="Times" w:eastAsia="Times New Roman" w:hAnsi="Times" w:cs="Times New Roman"/>
          <w:smallCaps/>
          <w:noProof/>
          <w:spacing w:val="-5"/>
          <w:sz w:val="16"/>
          <w:szCs w:val="20"/>
          <w:lang w:eastAsia="it-IT"/>
        </w:rPr>
        <w:t>Giavazzi,</w:t>
      </w:r>
      <w:r w:rsidRPr="00905CE1">
        <w:rPr>
          <w:rFonts w:ascii="Times" w:eastAsia="Times New Roman" w:hAnsi="Times" w:cs="Times New Roman"/>
          <w:i/>
          <w:noProof/>
          <w:spacing w:val="-5"/>
          <w:sz w:val="18"/>
          <w:szCs w:val="20"/>
          <w:lang w:eastAsia="it-IT"/>
        </w:rPr>
        <w:t xml:space="preserve"> Scoprire la macroeconomia – Quello che non si può non sapere,</w:t>
      </w:r>
      <w:r w:rsidRPr="00905CE1">
        <w:rPr>
          <w:rFonts w:ascii="Times" w:eastAsia="Times New Roman" w:hAnsi="Times" w:cs="Times New Roman"/>
          <w:noProof/>
          <w:spacing w:val="-5"/>
          <w:sz w:val="18"/>
          <w:szCs w:val="20"/>
          <w:lang w:eastAsia="it-IT"/>
        </w:rPr>
        <w:t xml:space="preserve"> Il Mulino, Bologna, </w:t>
      </w:r>
      <w:r w:rsidR="00734195">
        <w:rPr>
          <w:rFonts w:ascii="Times" w:eastAsia="Times New Roman" w:hAnsi="Times" w:cs="Times New Roman"/>
          <w:noProof/>
          <w:spacing w:val="-5"/>
          <w:sz w:val="18"/>
          <w:szCs w:val="20"/>
          <w:lang w:eastAsia="it-IT"/>
        </w:rPr>
        <w:t>2021</w:t>
      </w:r>
      <w:r w:rsidRPr="00905CE1">
        <w:rPr>
          <w:rFonts w:ascii="Times" w:eastAsia="Times New Roman" w:hAnsi="Times" w:cs="Times New Roman"/>
          <w:noProof/>
          <w:spacing w:val="-5"/>
          <w:sz w:val="18"/>
          <w:szCs w:val="20"/>
          <w:lang w:eastAsia="it-IT"/>
        </w:rPr>
        <w:t>.</w:t>
      </w:r>
      <w:r w:rsidR="00E44FF5">
        <w:rPr>
          <w:rFonts w:ascii="Times" w:eastAsia="Times New Roman" w:hAnsi="Times" w:cs="Times New Roman"/>
          <w:noProof/>
          <w:spacing w:val="-5"/>
          <w:sz w:val="18"/>
          <w:szCs w:val="20"/>
          <w:lang w:eastAsia="it-IT"/>
        </w:rPr>
        <w:t xml:space="preserve"> </w:t>
      </w:r>
      <w:hyperlink r:id="rId6" w:history="1">
        <w:r w:rsidR="00E44FF5" w:rsidRPr="00E44FF5">
          <w:rPr>
            <w:rStyle w:val="Collegamentoipertestuale"/>
            <w:rFonts w:ascii="Times" w:eastAsia="Times New Roman" w:hAnsi="Times" w:cs="Times New Roman"/>
            <w:noProof/>
            <w:spacing w:val="-5"/>
            <w:sz w:val="18"/>
            <w:szCs w:val="20"/>
            <w:lang w:eastAsia="it-IT"/>
          </w:rPr>
          <w:t>Acquista da V&amp;P</w:t>
        </w:r>
      </w:hyperlink>
      <w:bookmarkStart w:id="0" w:name="_GoBack"/>
      <w:bookmarkEnd w:id="0"/>
    </w:p>
    <w:p w14:paraId="33FDAACE" w14:textId="77777777" w:rsidR="00EF39C7" w:rsidRPr="00EF39C7" w:rsidRDefault="00EF39C7" w:rsidP="00EF39C7">
      <w:pPr>
        <w:tabs>
          <w:tab w:val="left" w:pos="284"/>
        </w:tabs>
        <w:spacing w:before="240" w:after="120" w:line="220" w:lineRule="exact"/>
        <w:jc w:val="both"/>
        <w:rPr>
          <w:rFonts w:ascii="Times" w:eastAsia="Times New Roman" w:hAnsi="Times" w:cs="Times New Roman"/>
          <w:b/>
          <w:i/>
          <w:sz w:val="18"/>
          <w:szCs w:val="20"/>
          <w:lang w:eastAsia="it-IT"/>
        </w:rPr>
      </w:pPr>
      <w:r w:rsidRPr="00EF39C7">
        <w:rPr>
          <w:rFonts w:ascii="Times" w:eastAsia="Times New Roman" w:hAnsi="Times" w:cs="Times New Roman"/>
          <w:b/>
          <w:i/>
          <w:sz w:val="18"/>
          <w:szCs w:val="20"/>
          <w:lang w:eastAsia="it-IT"/>
        </w:rPr>
        <w:t>DIDATTICA DEL CORSO</w:t>
      </w:r>
    </w:p>
    <w:p w14:paraId="258E6B51" w14:textId="77777777" w:rsidR="00EF39C7" w:rsidRPr="00EF39C7" w:rsidRDefault="00EF39C7" w:rsidP="00EF39C7">
      <w:pPr>
        <w:spacing w:after="0" w:line="220" w:lineRule="exact"/>
        <w:ind w:firstLine="284"/>
        <w:jc w:val="both"/>
        <w:rPr>
          <w:rFonts w:ascii="Times" w:eastAsia="Times New Roman" w:hAnsi="Times" w:cs="Times New Roman"/>
          <w:noProof/>
          <w:sz w:val="18"/>
          <w:szCs w:val="20"/>
          <w:lang w:eastAsia="it-IT"/>
        </w:rPr>
      </w:pPr>
      <w:r w:rsidRPr="00EF39C7">
        <w:rPr>
          <w:rFonts w:ascii="Times" w:eastAsia="Times New Roman" w:hAnsi="Times" w:cs="Times New Roman"/>
          <w:noProof/>
          <w:sz w:val="18"/>
          <w:szCs w:val="20"/>
          <w:lang w:eastAsia="it-IT"/>
        </w:rPr>
        <w:t>Lezioni teoriche.</w:t>
      </w:r>
    </w:p>
    <w:p w14:paraId="63B7CB08" w14:textId="77777777" w:rsidR="00EF39C7" w:rsidRPr="00EF39C7" w:rsidRDefault="00EF39C7" w:rsidP="00EF39C7">
      <w:pPr>
        <w:tabs>
          <w:tab w:val="left" w:pos="284"/>
        </w:tabs>
        <w:spacing w:before="240" w:after="120" w:line="220" w:lineRule="exact"/>
        <w:jc w:val="both"/>
        <w:rPr>
          <w:rFonts w:ascii="Times" w:eastAsia="Times New Roman" w:hAnsi="Times" w:cs="Times New Roman"/>
          <w:b/>
          <w:i/>
          <w:sz w:val="18"/>
          <w:szCs w:val="20"/>
          <w:lang w:eastAsia="it-IT"/>
        </w:rPr>
      </w:pPr>
      <w:r w:rsidRPr="00EF39C7">
        <w:rPr>
          <w:rFonts w:ascii="Times" w:eastAsia="Times New Roman" w:hAnsi="Times" w:cs="Times New Roman"/>
          <w:b/>
          <w:i/>
          <w:sz w:val="18"/>
          <w:szCs w:val="20"/>
          <w:lang w:eastAsia="it-IT"/>
        </w:rPr>
        <w:t>METODO E CRITERI DI VALUTAZIONE</w:t>
      </w:r>
    </w:p>
    <w:p w14:paraId="1CF4CC1F" w14:textId="77777777" w:rsidR="00942F4C" w:rsidRDefault="00942F4C" w:rsidP="005005CF">
      <w:pPr>
        <w:spacing w:after="0" w:line="240" w:lineRule="exact"/>
        <w:ind w:firstLine="284"/>
        <w:jc w:val="both"/>
        <w:rPr>
          <w:rFonts w:ascii="Times" w:eastAsia="Times New Roman" w:hAnsi="Times" w:cs="Times New Roman"/>
          <w:noProof/>
          <w:sz w:val="18"/>
          <w:szCs w:val="20"/>
          <w:lang w:eastAsia="it-IT"/>
        </w:rPr>
      </w:pPr>
      <w:r>
        <w:rPr>
          <w:rFonts w:ascii="Times" w:eastAsia="Times New Roman" w:hAnsi="Times" w:cs="Times New Roman"/>
          <w:noProof/>
          <w:sz w:val="18"/>
          <w:szCs w:val="20"/>
          <w:lang w:eastAsia="it-IT"/>
        </w:rPr>
        <w:lastRenderedPageBreak/>
        <w:t>Sono previste due prove scritte</w:t>
      </w:r>
      <w:r w:rsidR="00EF39C7" w:rsidRPr="00EF39C7">
        <w:rPr>
          <w:rFonts w:ascii="Times" w:eastAsia="Times New Roman" w:hAnsi="Times" w:cs="Times New Roman"/>
          <w:noProof/>
          <w:sz w:val="18"/>
          <w:szCs w:val="20"/>
          <w:lang w:eastAsia="it-IT"/>
        </w:rPr>
        <w:t xml:space="preserve"> di accertamento dei risultati di apprendimento</w:t>
      </w:r>
      <w:r>
        <w:rPr>
          <w:rFonts w:ascii="Times" w:eastAsia="Times New Roman" w:hAnsi="Times" w:cs="Times New Roman"/>
          <w:noProof/>
          <w:sz w:val="18"/>
          <w:szCs w:val="20"/>
          <w:lang w:eastAsia="it-IT"/>
        </w:rPr>
        <w:t>, una per la parte di Microeconomia e una per la parte di Macroeconomia</w:t>
      </w:r>
      <w:r w:rsidR="00EF39C7" w:rsidRPr="00EF39C7">
        <w:rPr>
          <w:rFonts w:ascii="Times" w:eastAsia="Times New Roman" w:hAnsi="Times" w:cs="Times New Roman"/>
          <w:noProof/>
          <w:sz w:val="18"/>
          <w:szCs w:val="20"/>
          <w:lang w:eastAsia="it-IT"/>
        </w:rPr>
        <w:t xml:space="preserve">. </w:t>
      </w:r>
    </w:p>
    <w:p w14:paraId="76478F69" w14:textId="77777777" w:rsidR="00942F4C" w:rsidRDefault="00942F4C" w:rsidP="005005CF">
      <w:pPr>
        <w:spacing w:after="0" w:line="240" w:lineRule="exact"/>
        <w:ind w:firstLine="284"/>
        <w:jc w:val="both"/>
        <w:rPr>
          <w:rFonts w:ascii="Times" w:eastAsia="Times New Roman" w:hAnsi="Times" w:cs="Times New Roman"/>
          <w:noProof/>
          <w:sz w:val="18"/>
          <w:szCs w:val="20"/>
          <w:lang w:eastAsia="it-IT"/>
        </w:rPr>
      </w:pPr>
      <w:r>
        <w:rPr>
          <w:rFonts w:ascii="Times" w:eastAsia="Times New Roman" w:hAnsi="Times" w:cs="Times New Roman"/>
          <w:noProof/>
          <w:sz w:val="18"/>
          <w:szCs w:val="20"/>
          <w:lang w:eastAsia="it-IT"/>
        </w:rPr>
        <w:t xml:space="preserve">Ogni prova è composta da </w:t>
      </w:r>
      <w:r w:rsidR="00EF39C7" w:rsidRPr="00EF39C7">
        <w:rPr>
          <w:rFonts w:ascii="Times" w:eastAsia="Times New Roman" w:hAnsi="Times" w:cs="Times New Roman"/>
          <w:noProof/>
          <w:sz w:val="18"/>
          <w:szCs w:val="20"/>
          <w:lang w:eastAsia="it-IT"/>
        </w:rPr>
        <w:t xml:space="preserve">un questionario </w:t>
      </w:r>
      <w:r w:rsidR="00EF39C7" w:rsidRPr="00EF39C7">
        <w:rPr>
          <w:rFonts w:ascii="Times" w:eastAsia="Times New Roman" w:hAnsi="Times" w:cs="Times New Roman"/>
          <w:i/>
          <w:noProof/>
          <w:sz w:val="18"/>
          <w:szCs w:val="20"/>
          <w:lang w:eastAsia="it-IT"/>
        </w:rPr>
        <w:t>multiple choice</w:t>
      </w:r>
      <w:r w:rsidR="00EF39C7" w:rsidRPr="00EF39C7">
        <w:rPr>
          <w:rFonts w:ascii="Times" w:eastAsia="Times New Roman" w:hAnsi="Times" w:cs="Times New Roman"/>
          <w:noProof/>
          <w:sz w:val="18"/>
          <w:szCs w:val="20"/>
          <w:lang w:eastAsia="it-IT"/>
        </w:rPr>
        <w:t xml:space="preserve"> (a risposta chiusa), nel quale il candidato dovrà dimostrare di aver acquisito le competenze teoriche illustrate durante </w:t>
      </w:r>
      <w:r>
        <w:rPr>
          <w:rFonts w:ascii="Times" w:eastAsia="Times New Roman" w:hAnsi="Times" w:cs="Times New Roman"/>
          <w:noProof/>
          <w:sz w:val="18"/>
          <w:szCs w:val="20"/>
          <w:lang w:eastAsia="it-IT"/>
        </w:rPr>
        <w:t>la relativa parte di corso</w:t>
      </w:r>
      <w:r w:rsidR="00EF39C7" w:rsidRPr="00EF39C7">
        <w:rPr>
          <w:rFonts w:ascii="Times" w:eastAsia="Times New Roman" w:hAnsi="Times" w:cs="Times New Roman"/>
          <w:noProof/>
          <w:sz w:val="18"/>
          <w:szCs w:val="20"/>
          <w:lang w:eastAsia="it-IT"/>
        </w:rPr>
        <w:t>.</w:t>
      </w:r>
      <w:bookmarkStart w:id="1" w:name="_Hlk6928915"/>
      <w:r>
        <w:rPr>
          <w:rFonts w:ascii="Times" w:eastAsia="Times New Roman" w:hAnsi="Times" w:cs="Times New Roman"/>
          <w:noProof/>
          <w:sz w:val="18"/>
          <w:szCs w:val="20"/>
          <w:lang w:eastAsia="it-IT"/>
        </w:rPr>
        <w:t xml:space="preserve"> </w:t>
      </w:r>
      <w:r w:rsidR="00EF39C7" w:rsidRPr="00EF39C7">
        <w:rPr>
          <w:rFonts w:ascii="Times" w:eastAsia="Times New Roman" w:hAnsi="Times" w:cs="Times New Roman"/>
          <w:noProof/>
          <w:sz w:val="18"/>
          <w:szCs w:val="20"/>
          <w:lang w:eastAsia="it-IT"/>
        </w:rPr>
        <w:t xml:space="preserve">A determinare il voto per la parte </w:t>
      </w:r>
      <w:r w:rsidR="00EF39C7" w:rsidRPr="00EF39C7">
        <w:rPr>
          <w:rFonts w:ascii="Times" w:eastAsia="Times New Roman" w:hAnsi="Times" w:cs="Times New Roman"/>
          <w:i/>
          <w:noProof/>
          <w:sz w:val="18"/>
          <w:szCs w:val="20"/>
          <w:lang w:eastAsia="it-IT"/>
        </w:rPr>
        <w:t>multiple choice</w:t>
      </w:r>
      <w:r w:rsidR="00EF39C7" w:rsidRPr="00EF39C7">
        <w:rPr>
          <w:rFonts w:ascii="Times" w:eastAsia="Times New Roman" w:hAnsi="Times" w:cs="Times New Roman"/>
          <w:noProof/>
          <w:sz w:val="18"/>
          <w:szCs w:val="20"/>
          <w:lang w:eastAsia="it-IT"/>
        </w:rPr>
        <w:t xml:space="preserve"> sarà la correttezza delle risposte fornite, valutata anche in base all’andamento generale della prova. </w:t>
      </w:r>
      <w:bookmarkEnd w:id="1"/>
    </w:p>
    <w:p w14:paraId="32559A4B" w14:textId="77777777" w:rsidR="00942F4C" w:rsidRDefault="00942F4C" w:rsidP="005005CF">
      <w:pPr>
        <w:spacing w:after="0" w:line="240" w:lineRule="exact"/>
        <w:ind w:firstLine="284"/>
        <w:jc w:val="both"/>
        <w:rPr>
          <w:rFonts w:ascii="Times" w:eastAsia="Times New Roman" w:hAnsi="Times" w:cs="Times New Roman"/>
          <w:noProof/>
          <w:sz w:val="18"/>
          <w:szCs w:val="20"/>
          <w:lang w:eastAsia="it-IT"/>
        </w:rPr>
      </w:pPr>
      <w:r>
        <w:rPr>
          <w:rFonts w:ascii="Times" w:eastAsia="Times New Roman" w:hAnsi="Times" w:cs="Times New Roman"/>
          <w:noProof/>
          <w:sz w:val="18"/>
          <w:szCs w:val="20"/>
          <w:lang w:eastAsia="it-IT"/>
        </w:rPr>
        <w:t xml:space="preserve">Il voto finale è determinato come media delle votazioni riportate nelle due prove. Per superare l’esame è comunque necessario che il candidato raggiunga la sufficienza in ognuna delle due prove. </w:t>
      </w:r>
    </w:p>
    <w:p w14:paraId="190CFF7F" w14:textId="77777777" w:rsidR="00EF39C7" w:rsidRPr="00EF39C7" w:rsidRDefault="00EF39C7" w:rsidP="005005CF">
      <w:pPr>
        <w:spacing w:after="0" w:line="240" w:lineRule="exact"/>
        <w:ind w:firstLine="284"/>
        <w:jc w:val="both"/>
        <w:rPr>
          <w:rFonts w:ascii="Times" w:eastAsia="Times New Roman" w:hAnsi="Times" w:cs="Times New Roman"/>
          <w:noProof/>
          <w:sz w:val="18"/>
          <w:szCs w:val="20"/>
          <w:lang w:eastAsia="it-IT"/>
        </w:rPr>
      </w:pPr>
      <w:r w:rsidRPr="00EF39C7">
        <w:rPr>
          <w:rFonts w:ascii="Times" w:eastAsia="Times New Roman" w:hAnsi="Times" w:cs="Times New Roman"/>
          <w:noProof/>
          <w:sz w:val="18"/>
          <w:szCs w:val="20"/>
          <w:lang w:eastAsia="it-IT"/>
        </w:rPr>
        <w:t>È sempre data facoltà al candidato di svolgere un colloquio orale per una valutazione integrativa, volta ad approfondire ulteriormente il grado di assimilazione dei concetti teorici ed empirici illustrati durante il corso, oltre che la personale capacità di rielaborazione degli stessi.</w:t>
      </w:r>
    </w:p>
    <w:p w14:paraId="22B27338" w14:textId="77777777" w:rsidR="00EF39C7" w:rsidRPr="00EF39C7" w:rsidRDefault="00EF39C7" w:rsidP="00EF39C7">
      <w:pPr>
        <w:tabs>
          <w:tab w:val="left" w:pos="284"/>
        </w:tabs>
        <w:spacing w:before="240" w:after="120" w:line="240" w:lineRule="exact"/>
        <w:jc w:val="both"/>
        <w:rPr>
          <w:rFonts w:ascii="Times" w:eastAsia="Times New Roman" w:hAnsi="Times" w:cs="Times New Roman"/>
          <w:b/>
          <w:i/>
          <w:sz w:val="18"/>
          <w:szCs w:val="20"/>
          <w:lang w:eastAsia="it-IT"/>
        </w:rPr>
      </w:pPr>
      <w:r w:rsidRPr="00EF39C7">
        <w:rPr>
          <w:rFonts w:ascii="Times" w:eastAsia="Times New Roman" w:hAnsi="Times" w:cs="Times New Roman"/>
          <w:b/>
          <w:i/>
          <w:sz w:val="18"/>
          <w:szCs w:val="20"/>
          <w:lang w:eastAsia="it-IT"/>
        </w:rPr>
        <w:t>AVVERTENZE E PREREQUISITI</w:t>
      </w:r>
    </w:p>
    <w:p w14:paraId="32FAFB25" w14:textId="77777777" w:rsidR="00EF39C7" w:rsidRPr="00EF39C7" w:rsidRDefault="00EF39C7" w:rsidP="005005CF">
      <w:pPr>
        <w:spacing w:after="0" w:line="240" w:lineRule="exact"/>
        <w:ind w:firstLine="284"/>
        <w:jc w:val="both"/>
        <w:rPr>
          <w:rFonts w:ascii="Times" w:eastAsia="Times New Roman" w:hAnsi="Times" w:cs="Times New Roman"/>
          <w:noProof/>
          <w:sz w:val="18"/>
          <w:szCs w:val="20"/>
          <w:lang w:eastAsia="it-IT"/>
        </w:rPr>
      </w:pPr>
      <w:bookmarkStart w:id="2" w:name="_Hlk6928943"/>
      <w:r w:rsidRPr="00EF39C7">
        <w:rPr>
          <w:rFonts w:ascii="Times" w:eastAsia="Times New Roman" w:hAnsi="Times" w:cs="Times New Roman"/>
          <w:noProof/>
          <w:sz w:val="18"/>
          <w:szCs w:val="20"/>
          <w:lang w:eastAsia="it-IT"/>
        </w:rPr>
        <w:t xml:space="preserve">Il corso offre le nozioni e gli strumenti di base per l’analisi microeconomica </w:t>
      </w:r>
      <w:r w:rsidR="00942F4C">
        <w:rPr>
          <w:rFonts w:ascii="Times" w:eastAsia="Times New Roman" w:hAnsi="Times" w:cs="Times New Roman"/>
          <w:noProof/>
          <w:sz w:val="18"/>
          <w:szCs w:val="20"/>
          <w:lang w:eastAsia="it-IT"/>
        </w:rPr>
        <w:t xml:space="preserve">e macroeconomica </w:t>
      </w:r>
      <w:r w:rsidRPr="00EF39C7">
        <w:rPr>
          <w:rFonts w:ascii="Times" w:eastAsia="Times New Roman" w:hAnsi="Times" w:cs="Times New Roman"/>
          <w:noProof/>
          <w:sz w:val="18"/>
          <w:szCs w:val="20"/>
          <w:lang w:eastAsia="it-IT"/>
        </w:rPr>
        <w:t xml:space="preserve">e come tale non richiede conoscenze pregresse eventualmente acquisite in altri corsi di economia. </w:t>
      </w:r>
    </w:p>
    <w:bookmarkEnd w:id="2"/>
    <w:p w14:paraId="61817F13" w14:textId="77777777" w:rsidR="00EF39C7" w:rsidRPr="00EF39C7" w:rsidRDefault="00EF39C7" w:rsidP="00EF39C7">
      <w:pPr>
        <w:spacing w:after="0" w:line="220" w:lineRule="exact"/>
        <w:ind w:firstLine="284"/>
        <w:jc w:val="both"/>
        <w:rPr>
          <w:rFonts w:ascii="Times" w:eastAsia="Times New Roman" w:hAnsi="Times" w:cs="Times New Roman"/>
          <w:noProof/>
          <w:sz w:val="18"/>
          <w:szCs w:val="20"/>
          <w:lang w:eastAsia="it-IT"/>
        </w:rPr>
      </w:pPr>
    </w:p>
    <w:p w14:paraId="3FF4E46D" w14:textId="77777777" w:rsidR="00EF39C7" w:rsidRPr="00EF39C7" w:rsidRDefault="00EF39C7" w:rsidP="00392690">
      <w:pPr>
        <w:spacing w:after="120" w:line="240" w:lineRule="exact"/>
        <w:ind w:firstLine="284"/>
        <w:jc w:val="both"/>
        <w:rPr>
          <w:rFonts w:ascii="Times" w:eastAsia="Times New Roman" w:hAnsi="Times" w:cs="Times New Roman"/>
          <w:i/>
          <w:noProof/>
          <w:sz w:val="18"/>
          <w:szCs w:val="20"/>
          <w:lang w:eastAsia="it-IT"/>
        </w:rPr>
      </w:pPr>
      <w:bookmarkStart w:id="3" w:name="_Hlk6928975"/>
      <w:r w:rsidRPr="00EF39C7">
        <w:rPr>
          <w:rFonts w:ascii="Times" w:eastAsia="Times New Roman" w:hAnsi="Times" w:cs="Times New Roman"/>
          <w:i/>
          <w:noProof/>
          <w:sz w:val="18"/>
          <w:szCs w:val="20"/>
          <w:lang w:eastAsia="it-IT"/>
        </w:rPr>
        <w:t>Orario e luogo di ricevimento studenti</w:t>
      </w:r>
    </w:p>
    <w:p w14:paraId="51B796C5" w14:textId="77777777" w:rsidR="00392690" w:rsidRDefault="00EF39C7" w:rsidP="005005CF">
      <w:pPr>
        <w:spacing w:after="0" w:line="240" w:lineRule="exact"/>
        <w:ind w:firstLine="284"/>
        <w:jc w:val="both"/>
        <w:rPr>
          <w:rFonts w:ascii="Times" w:eastAsia="Times New Roman" w:hAnsi="Times" w:cs="Times New Roman"/>
          <w:noProof/>
          <w:sz w:val="18"/>
          <w:szCs w:val="20"/>
          <w:lang w:eastAsia="it-IT"/>
        </w:rPr>
      </w:pPr>
      <w:r w:rsidRPr="00EF39C7">
        <w:rPr>
          <w:rFonts w:ascii="Times" w:eastAsia="Times New Roman" w:hAnsi="Times" w:cs="Times New Roman"/>
          <w:noProof/>
          <w:sz w:val="18"/>
          <w:szCs w:val="20"/>
          <w:lang w:eastAsia="it-IT"/>
        </w:rPr>
        <w:t>I docent</w:t>
      </w:r>
      <w:r w:rsidR="00392690">
        <w:rPr>
          <w:rFonts w:ascii="Times" w:eastAsia="Times New Roman" w:hAnsi="Times" w:cs="Times New Roman"/>
          <w:noProof/>
          <w:sz w:val="18"/>
          <w:szCs w:val="20"/>
          <w:lang w:eastAsia="it-IT"/>
        </w:rPr>
        <w:t>i</w:t>
      </w:r>
      <w:r w:rsidRPr="00EF39C7">
        <w:rPr>
          <w:rFonts w:ascii="Times" w:eastAsia="Times New Roman" w:hAnsi="Times" w:cs="Times New Roman"/>
          <w:noProof/>
          <w:sz w:val="18"/>
          <w:szCs w:val="20"/>
          <w:lang w:eastAsia="it-IT"/>
        </w:rPr>
        <w:t xml:space="preserve"> ricev</w:t>
      </w:r>
      <w:r w:rsidR="00392690">
        <w:rPr>
          <w:rFonts w:ascii="Times" w:eastAsia="Times New Roman" w:hAnsi="Times" w:cs="Times New Roman"/>
          <w:noProof/>
          <w:sz w:val="18"/>
          <w:szCs w:val="20"/>
          <w:lang w:eastAsia="it-IT"/>
        </w:rPr>
        <w:t>ono</w:t>
      </w:r>
      <w:r w:rsidRPr="00EF39C7">
        <w:rPr>
          <w:rFonts w:ascii="Times" w:eastAsia="Times New Roman" w:hAnsi="Times" w:cs="Times New Roman"/>
          <w:noProof/>
          <w:sz w:val="18"/>
          <w:szCs w:val="20"/>
          <w:lang w:eastAsia="it-IT"/>
        </w:rPr>
        <w:t xml:space="preserve"> gli studenti presso il </w:t>
      </w:r>
      <w:r w:rsidR="00392690">
        <w:rPr>
          <w:rFonts w:ascii="Times" w:eastAsia="Times New Roman" w:hAnsi="Times" w:cs="Times New Roman"/>
          <w:noProof/>
          <w:sz w:val="18"/>
          <w:szCs w:val="20"/>
          <w:lang w:eastAsia="it-IT"/>
        </w:rPr>
        <w:t>loro</w:t>
      </w:r>
      <w:r w:rsidRPr="00EF39C7">
        <w:rPr>
          <w:rFonts w:ascii="Times" w:eastAsia="Times New Roman" w:hAnsi="Times" w:cs="Times New Roman"/>
          <w:noProof/>
          <w:sz w:val="18"/>
          <w:szCs w:val="20"/>
          <w:lang w:eastAsia="it-IT"/>
        </w:rPr>
        <w:t xml:space="preserve"> studio</w:t>
      </w:r>
      <w:r w:rsidR="00392690">
        <w:rPr>
          <w:rFonts w:ascii="Times" w:eastAsia="Times New Roman" w:hAnsi="Times" w:cs="Times New Roman"/>
          <w:noProof/>
          <w:sz w:val="18"/>
          <w:szCs w:val="20"/>
          <w:lang w:eastAsia="it-IT"/>
        </w:rPr>
        <w:t xml:space="preserve">. </w:t>
      </w:r>
    </w:p>
    <w:p w14:paraId="30EC1259" w14:textId="75FEF987" w:rsidR="003C60F0" w:rsidRDefault="00EF39C7" w:rsidP="005005CF">
      <w:pPr>
        <w:spacing w:after="0" w:line="240" w:lineRule="exact"/>
        <w:ind w:firstLine="284"/>
        <w:jc w:val="both"/>
      </w:pPr>
      <w:r w:rsidRPr="00EF39C7">
        <w:rPr>
          <w:rFonts w:ascii="Times" w:eastAsia="Times New Roman" w:hAnsi="Times" w:cs="Times New Roman"/>
          <w:noProof/>
          <w:sz w:val="18"/>
          <w:szCs w:val="20"/>
          <w:lang w:eastAsia="it-IT"/>
        </w:rPr>
        <w:t xml:space="preserve">L’orario di ricevimento è indicato sulla pagina personale del docente nel portale d’Ateneo. </w:t>
      </w:r>
      <w:bookmarkEnd w:id="3"/>
    </w:p>
    <w:sectPr w:rsidR="003C60F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C100D"/>
    <w:multiLevelType w:val="hybridMultilevel"/>
    <w:tmpl w:val="E0A852BE"/>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ytDQ3MzKytDQ1tjBX0lEKTi0uzszPAykwrAUANhuEfCwAAAA="/>
  </w:docVars>
  <w:rsids>
    <w:rsidRoot w:val="00D34E58"/>
    <w:rsid w:val="00046748"/>
    <w:rsid w:val="000D7821"/>
    <w:rsid w:val="001D4E8C"/>
    <w:rsid w:val="00392690"/>
    <w:rsid w:val="003C60F0"/>
    <w:rsid w:val="004726C8"/>
    <w:rsid w:val="005005CF"/>
    <w:rsid w:val="00734195"/>
    <w:rsid w:val="009216F1"/>
    <w:rsid w:val="00942F4C"/>
    <w:rsid w:val="00D34E58"/>
    <w:rsid w:val="00D56198"/>
    <w:rsid w:val="00E44FF5"/>
    <w:rsid w:val="00EF39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400D"/>
  <w15:chartTrackingRefBased/>
  <w15:docId w15:val="{C97D7E5E-5A61-4A66-920C-DAAC859C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4E8C"/>
    <w:pPr>
      <w:ind w:left="720"/>
      <w:contextualSpacing/>
    </w:pPr>
  </w:style>
  <w:style w:type="character" w:styleId="Collegamentoipertestuale">
    <w:name w:val="Hyperlink"/>
    <w:basedOn w:val="Carpredefinitoparagrafo"/>
    <w:uiPriority w:val="99"/>
    <w:unhideWhenUsed/>
    <w:rsid w:val="00E44F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francesco-giavazzi-alessia-amighini-olivier-blanchard/scoprire-la-macroeconomia-9788815290168-692257.html" TargetMode="External"/><Relationship Id="rId5" Type="http://schemas.openxmlformats.org/officeDocument/2006/relationships/hyperlink" Target="https://librerie.unicatt.it/scheda-libro/john-sloman-alison-wride-dean-garratt/microeconomia-ediz-mylab-9788891910004-693122.html?search_string=sloman%20microeconomia&amp;search_results=7"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945</Words>
  <Characters>5388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dc:description/>
  <cp:lastModifiedBy>Magatelli Matteo</cp:lastModifiedBy>
  <cp:revision>3</cp:revision>
  <dcterms:created xsi:type="dcterms:W3CDTF">2022-05-05T13:37:00Z</dcterms:created>
  <dcterms:modified xsi:type="dcterms:W3CDTF">2022-12-07T11:33:00Z</dcterms:modified>
</cp:coreProperties>
</file>