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7C9C86" w14:textId="77777777" w:rsidR="001430D0" w:rsidRPr="00EB20B8" w:rsidRDefault="001430D0" w:rsidP="001430D0">
      <w:pPr>
        <w:pStyle w:val="Titolo1"/>
        <w:rPr>
          <w:lang w:val="en-GB"/>
        </w:rPr>
      </w:pPr>
      <w:r w:rsidRPr="00EB20B8">
        <w:rPr>
          <w:lang w:val="en-GB"/>
        </w:rPr>
        <w:t xml:space="preserve">Child and Adolescent Psychology: Legal and Social Aspects </w:t>
      </w:r>
    </w:p>
    <w:p w14:paraId="21B19356" w14:textId="21E85803" w:rsidR="00AC13D3" w:rsidRPr="002675DD" w:rsidRDefault="001430D0" w:rsidP="00AC13D3">
      <w:pPr>
        <w:pStyle w:val="Titolo2"/>
      </w:pPr>
      <w:r w:rsidRPr="002675DD">
        <w:t xml:space="preserve">Prof. </w:t>
      </w:r>
      <w:r w:rsidR="00276F61" w:rsidRPr="002675DD">
        <w:t>Edoardo Bracaglia</w:t>
      </w:r>
      <w:r w:rsidRPr="002675DD">
        <w:t xml:space="preserve">; Prof. </w:t>
      </w:r>
      <w:r w:rsidR="00891FB6" w:rsidRPr="002675DD">
        <w:t>Eleonora Crapolicchio</w:t>
      </w:r>
    </w:p>
    <w:p w14:paraId="1B205498" w14:textId="4D412F9A" w:rsidR="00B2265C" w:rsidRPr="00EB20B8" w:rsidRDefault="001430D0" w:rsidP="00BE4BB7">
      <w:pPr>
        <w:spacing w:before="240" w:after="120"/>
        <w:rPr>
          <w:rFonts w:cs="Times New Roman"/>
          <w:b/>
          <w:bCs/>
          <w:sz w:val="18"/>
          <w:szCs w:val="18"/>
          <w:lang w:val="en-GB"/>
        </w:rPr>
      </w:pPr>
      <w:r w:rsidRPr="00EB20B8">
        <w:rPr>
          <w:rFonts w:cs="Times New Roman"/>
          <w:b/>
          <w:bCs/>
          <w:i/>
          <w:iCs/>
          <w:sz w:val="18"/>
          <w:szCs w:val="18"/>
          <w:lang w:val="en-GB"/>
        </w:rPr>
        <w:t>COURSE AIMS AND INTENDED LEARNING OUTCOMES</w:t>
      </w:r>
    </w:p>
    <w:p w14:paraId="425A1BEB" w14:textId="6D1DE885" w:rsidR="00B2265C" w:rsidRPr="00EB20B8" w:rsidRDefault="00D264E8" w:rsidP="00AA56C5">
      <w:pPr>
        <w:rPr>
          <w:rFonts w:cs="Times New Roman"/>
          <w:lang w:val="en-GB"/>
        </w:rPr>
      </w:pPr>
      <w:r w:rsidRPr="00EB20B8">
        <w:rPr>
          <w:rFonts w:cs="Times New Roman"/>
          <w:lang w:val="en-GB"/>
        </w:rPr>
        <w:t xml:space="preserve">The course aims to provide students with the basic elements useful for understanding, from the point of view of social and legal psychology, the main educational contexts in which children develop their knowledge of themselves and of the social world. The course will also present the most relevant aspects of the contexts and psycho-social and legal problems with which professionals working with minors are confronted. </w:t>
      </w:r>
    </w:p>
    <w:p w14:paraId="15EDD1E7" w14:textId="238C4924" w:rsidR="00B2265C" w:rsidRPr="00EB20B8" w:rsidRDefault="00D264E8" w:rsidP="00AA56C5">
      <w:pPr>
        <w:tabs>
          <w:tab w:val="left" w:pos="708"/>
          <w:tab w:val="left" w:pos="1416"/>
          <w:tab w:val="left" w:pos="2124"/>
          <w:tab w:val="left" w:pos="2832"/>
          <w:tab w:val="left" w:pos="3540"/>
          <w:tab w:val="left" w:pos="4248"/>
          <w:tab w:val="left" w:pos="4956"/>
          <w:tab w:val="left" w:pos="5664"/>
          <w:tab w:val="left" w:pos="6184"/>
        </w:tabs>
        <w:rPr>
          <w:rFonts w:cs="Times New Roman"/>
          <w:lang w:val="en-GB"/>
        </w:rPr>
      </w:pPr>
      <w:r w:rsidRPr="00EB20B8">
        <w:rPr>
          <w:rFonts w:cs="Times New Roman"/>
          <w:lang w:val="en-GB"/>
        </w:rPr>
        <w:t>At the end of the course, students will be able to identify the main theoretical orientations useful for reading and understanding the different child educational contexts and to enhance in educational interventions the tools and results made available by research in social and legal psychology.</w:t>
      </w:r>
    </w:p>
    <w:p w14:paraId="0DF65D9B" w14:textId="77777777" w:rsidR="001430D0" w:rsidRPr="00EB20B8" w:rsidRDefault="001430D0" w:rsidP="001430D0">
      <w:pPr>
        <w:spacing w:before="240" w:after="120"/>
        <w:rPr>
          <w:b/>
          <w:sz w:val="18"/>
          <w:lang w:val="en-GB"/>
        </w:rPr>
      </w:pPr>
      <w:r w:rsidRPr="00EB20B8">
        <w:rPr>
          <w:b/>
          <w:i/>
          <w:sz w:val="18"/>
          <w:lang w:val="en-GB"/>
        </w:rPr>
        <w:t>COURSE CONTENT</w:t>
      </w:r>
    </w:p>
    <w:p w14:paraId="3BE27428" w14:textId="564C0525" w:rsidR="00B2265C" w:rsidRPr="00EB20B8" w:rsidRDefault="009E4FED" w:rsidP="00BE4BB7">
      <w:pPr>
        <w:rPr>
          <w:rFonts w:cs="Times New Roman"/>
          <w:lang w:val="en-GB"/>
        </w:rPr>
      </w:pPr>
      <w:r w:rsidRPr="00EB20B8">
        <w:rPr>
          <w:rFonts w:cs="Times New Roman"/>
          <w:lang w:val="en-GB"/>
        </w:rPr>
        <w:t>The course is organised in two modules</w:t>
      </w:r>
      <w:r w:rsidR="008032AD" w:rsidRPr="00EB20B8">
        <w:rPr>
          <w:rFonts w:cs="Times New Roman"/>
          <w:lang w:val="en-GB"/>
        </w:rPr>
        <w:t>.</w:t>
      </w:r>
    </w:p>
    <w:p w14:paraId="798EF5EC" w14:textId="4C1BEC2D" w:rsidR="00B2265C" w:rsidRPr="00EB20B8" w:rsidRDefault="008032AD" w:rsidP="00BE4BB7">
      <w:pPr>
        <w:tabs>
          <w:tab w:val="left" w:pos="284"/>
          <w:tab w:val="left" w:pos="708"/>
          <w:tab w:val="left" w:pos="1416"/>
          <w:tab w:val="left" w:pos="2124"/>
          <w:tab w:val="left" w:pos="2832"/>
          <w:tab w:val="left" w:pos="3540"/>
          <w:tab w:val="left" w:pos="4248"/>
          <w:tab w:val="left" w:pos="4956"/>
          <w:tab w:val="left" w:pos="5664"/>
          <w:tab w:val="left" w:pos="6184"/>
        </w:tabs>
        <w:spacing w:before="240" w:after="120" w:line="220" w:lineRule="exact"/>
        <w:rPr>
          <w:rFonts w:cs="Times New Roman"/>
          <w:b/>
          <w:iCs/>
          <w:smallCaps/>
          <w:sz w:val="18"/>
          <w:szCs w:val="18"/>
          <w:lang w:val="en-GB"/>
        </w:rPr>
      </w:pPr>
      <w:r w:rsidRPr="00EB20B8">
        <w:rPr>
          <w:rFonts w:cs="Times New Roman"/>
          <w:b/>
          <w:smallCaps/>
          <w:sz w:val="18"/>
          <w:szCs w:val="18"/>
          <w:lang w:val="en-GB"/>
        </w:rPr>
        <w:t>I Modul</w:t>
      </w:r>
      <w:r w:rsidR="009E4FED" w:rsidRPr="00EB20B8">
        <w:rPr>
          <w:rFonts w:cs="Times New Roman"/>
          <w:b/>
          <w:smallCaps/>
          <w:sz w:val="18"/>
          <w:szCs w:val="18"/>
          <w:lang w:val="en-GB"/>
        </w:rPr>
        <w:t>e</w:t>
      </w:r>
      <w:r w:rsidR="00BE4BB7" w:rsidRPr="00EB20B8">
        <w:rPr>
          <w:rFonts w:cs="Times New Roman"/>
          <w:b/>
          <w:smallCaps/>
          <w:sz w:val="18"/>
          <w:szCs w:val="18"/>
          <w:lang w:val="en-GB"/>
        </w:rPr>
        <w:t>: Prof. Edoardo Bracaglia</w:t>
      </w:r>
    </w:p>
    <w:p w14:paraId="5FE615CD" w14:textId="0E9C21C6" w:rsidR="00BE4BB7" w:rsidRPr="00EB20B8" w:rsidRDefault="009E4FED" w:rsidP="00AA56C5">
      <w:pPr>
        <w:tabs>
          <w:tab w:val="left" w:pos="284"/>
          <w:tab w:val="left" w:pos="708"/>
          <w:tab w:val="left" w:pos="1416"/>
          <w:tab w:val="left" w:pos="2124"/>
          <w:tab w:val="left" w:pos="2832"/>
          <w:tab w:val="left" w:pos="3540"/>
          <w:tab w:val="left" w:pos="4248"/>
          <w:tab w:val="left" w:pos="4956"/>
          <w:tab w:val="left" w:pos="5664"/>
          <w:tab w:val="left" w:pos="6184"/>
        </w:tabs>
        <w:spacing w:before="120"/>
        <w:rPr>
          <w:rFonts w:cs="Times New Roman"/>
          <w:lang w:val="en-GB"/>
        </w:rPr>
      </w:pPr>
      <w:r w:rsidRPr="00EB20B8">
        <w:rPr>
          <w:rFonts w:cs="Times New Roman"/>
          <w:lang w:val="en-GB"/>
        </w:rPr>
        <w:t xml:space="preserve">The module will focus on the main contributions of legal psychology relating to minors, </w:t>
      </w:r>
      <w:proofErr w:type="gramStart"/>
      <w:r w:rsidRPr="00EB20B8">
        <w:rPr>
          <w:rFonts w:cs="Times New Roman"/>
          <w:lang w:val="en-GB"/>
        </w:rPr>
        <w:t>in order to</w:t>
      </w:r>
      <w:proofErr w:type="gramEnd"/>
      <w:r w:rsidRPr="00EB20B8">
        <w:rPr>
          <w:rFonts w:cs="Times New Roman"/>
          <w:lang w:val="en-GB"/>
        </w:rPr>
        <w:t xml:space="preserve"> provide knowledge of the theoretical concepts and operational tools that make it possible to guarantee children rights in different life contexts, with reference to the factors of risk and protection</w:t>
      </w:r>
      <w:r w:rsidR="00476A37" w:rsidRPr="00EB20B8">
        <w:rPr>
          <w:rFonts w:cs="Times New Roman"/>
          <w:lang w:val="en-GB"/>
        </w:rPr>
        <w:t xml:space="preserve"> that </w:t>
      </w:r>
      <w:r w:rsidRPr="00EB20B8">
        <w:rPr>
          <w:rFonts w:cs="Times New Roman"/>
          <w:lang w:val="en-GB"/>
        </w:rPr>
        <w:t>can characterise their life path</w:t>
      </w:r>
      <w:r w:rsidR="00476A37" w:rsidRPr="00EB20B8">
        <w:rPr>
          <w:rFonts w:cs="Times New Roman"/>
          <w:lang w:val="en-GB"/>
        </w:rPr>
        <w:t>s</w:t>
      </w:r>
      <w:r w:rsidRPr="00EB20B8">
        <w:rPr>
          <w:rFonts w:cs="Times New Roman"/>
          <w:lang w:val="en-GB"/>
        </w:rPr>
        <w:t>. Specifically, the following issues will be addressed</w:t>
      </w:r>
      <w:r w:rsidR="00BE4BB7" w:rsidRPr="00EB20B8">
        <w:rPr>
          <w:rFonts w:cs="Times New Roman"/>
          <w:lang w:val="en-GB"/>
        </w:rPr>
        <w:t xml:space="preserve">: </w:t>
      </w:r>
    </w:p>
    <w:p w14:paraId="18DF44EC" w14:textId="79010EB8" w:rsidR="00BE4BB7" w:rsidRPr="00EB20B8" w:rsidRDefault="00F91E21" w:rsidP="00AA56C5">
      <w:pPr>
        <w:pStyle w:val="Paragrafoelenco"/>
        <w:numPr>
          <w:ilvl w:val="0"/>
          <w:numId w:val="2"/>
        </w:numPr>
        <w:spacing w:before="120"/>
        <w:ind w:left="714" w:hanging="357"/>
        <w:rPr>
          <w:rFonts w:cs="Times New Roman"/>
          <w:lang w:val="en-GB"/>
        </w:rPr>
      </w:pPr>
      <w:r w:rsidRPr="00EB20B8">
        <w:rPr>
          <w:rFonts w:cs="Times New Roman"/>
          <w:lang w:val="en-GB"/>
        </w:rPr>
        <w:t>psychology and law</w:t>
      </w:r>
      <w:r w:rsidR="00BE4BB7" w:rsidRPr="00EB20B8">
        <w:rPr>
          <w:rFonts w:cs="Times New Roman"/>
          <w:lang w:val="en-GB"/>
        </w:rPr>
        <w:t>;</w:t>
      </w:r>
    </w:p>
    <w:p w14:paraId="4863D758" w14:textId="5D18B362" w:rsidR="00BE4BB7" w:rsidRPr="00EB20B8" w:rsidRDefault="00F91E21" w:rsidP="00AA56C5">
      <w:pPr>
        <w:pStyle w:val="Paragrafoelenco"/>
        <w:numPr>
          <w:ilvl w:val="0"/>
          <w:numId w:val="2"/>
        </w:numPr>
        <w:spacing w:before="120"/>
        <w:ind w:left="714" w:hanging="357"/>
        <w:rPr>
          <w:rFonts w:cs="Times New Roman"/>
          <w:lang w:val="en-GB"/>
        </w:rPr>
      </w:pPr>
      <w:r w:rsidRPr="00EB20B8">
        <w:rPr>
          <w:rFonts w:cs="Times New Roman"/>
          <w:lang w:val="en-GB"/>
        </w:rPr>
        <w:t>minors and fragile parenting</w:t>
      </w:r>
      <w:r w:rsidR="00BE4BB7" w:rsidRPr="00EB20B8">
        <w:rPr>
          <w:rFonts w:cs="Times New Roman"/>
          <w:lang w:val="en-GB"/>
        </w:rPr>
        <w:t>;</w:t>
      </w:r>
    </w:p>
    <w:p w14:paraId="39491AFE" w14:textId="4B599176" w:rsidR="00BE4BB7" w:rsidRPr="00EB20B8" w:rsidRDefault="00F91E21" w:rsidP="00AA56C5">
      <w:pPr>
        <w:pStyle w:val="Paragrafoelenco"/>
        <w:numPr>
          <w:ilvl w:val="0"/>
          <w:numId w:val="2"/>
        </w:numPr>
        <w:spacing w:before="120"/>
        <w:ind w:left="714" w:hanging="357"/>
        <w:rPr>
          <w:rFonts w:cs="Times New Roman"/>
          <w:lang w:val="en-GB"/>
        </w:rPr>
      </w:pPr>
      <w:r w:rsidRPr="00EB20B8">
        <w:rPr>
          <w:rFonts w:cs="Times New Roman"/>
          <w:lang w:val="en-GB"/>
        </w:rPr>
        <w:t>minors at risk and child protection services</w:t>
      </w:r>
      <w:r w:rsidR="00BE4BB7" w:rsidRPr="00EB20B8">
        <w:rPr>
          <w:rFonts w:cs="Times New Roman"/>
          <w:lang w:val="en-GB"/>
        </w:rPr>
        <w:t>;</w:t>
      </w:r>
    </w:p>
    <w:p w14:paraId="449D5BD0" w14:textId="16CB0C91" w:rsidR="00BE4BB7" w:rsidRPr="00EB20B8" w:rsidRDefault="00F91E21" w:rsidP="00AA56C5">
      <w:pPr>
        <w:pStyle w:val="Paragrafoelenco"/>
        <w:numPr>
          <w:ilvl w:val="0"/>
          <w:numId w:val="2"/>
        </w:numPr>
        <w:spacing w:before="120"/>
        <w:ind w:left="714" w:hanging="357"/>
        <w:rPr>
          <w:rFonts w:cs="Times New Roman"/>
          <w:lang w:val="en-GB"/>
        </w:rPr>
      </w:pPr>
      <w:r w:rsidRPr="00EB20B8">
        <w:rPr>
          <w:rFonts w:cs="Times New Roman"/>
          <w:lang w:val="en-GB"/>
        </w:rPr>
        <w:t>tools for the protection of minors</w:t>
      </w:r>
      <w:r w:rsidR="00BE4BB7" w:rsidRPr="00EB20B8">
        <w:rPr>
          <w:rFonts w:cs="Times New Roman"/>
          <w:lang w:val="en-GB"/>
        </w:rPr>
        <w:t>;</w:t>
      </w:r>
    </w:p>
    <w:p w14:paraId="63D816B9" w14:textId="1185E681" w:rsidR="00BE4BB7" w:rsidRPr="00EB20B8" w:rsidRDefault="00F91E21" w:rsidP="00AA56C5">
      <w:pPr>
        <w:pStyle w:val="Paragrafoelenco"/>
        <w:numPr>
          <w:ilvl w:val="0"/>
          <w:numId w:val="2"/>
        </w:numPr>
        <w:spacing w:before="120"/>
        <w:ind w:left="714" w:hanging="357"/>
        <w:rPr>
          <w:rFonts w:cs="Times New Roman"/>
          <w:lang w:val="en-GB"/>
        </w:rPr>
      </w:pPr>
      <w:r w:rsidRPr="00EB20B8">
        <w:rPr>
          <w:rFonts w:cs="Times New Roman"/>
          <w:lang w:val="en-GB"/>
        </w:rPr>
        <w:t>child maltreatment</w:t>
      </w:r>
      <w:r w:rsidR="00BE4BB7" w:rsidRPr="00EB20B8">
        <w:rPr>
          <w:rFonts w:cs="Times New Roman"/>
          <w:lang w:val="en-GB"/>
        </w:rPr>
        <w:t xml:space="preserve">; </w:t>
      </w:r>
    </w:p>
    <w:p w14:paraId="2A632E27" w14:textId="4C285AEE" w:rsidR="00B2265C" w:rsidRPr="00EB20B8" w:rsidRDefault="00F91E21" w:rsidP="00AA56C5">
      <w:pPr>
        <w:pStyle w:val="Paragrafoelenco"/>
        <w:numPr>
          <w:ilvl w:val="0"/>
          <w:numId w:val="2"/>
        </w:numPr>
        <w:spacing w:before="120"/>
        <w:ind w:left="714" w:hanging="357"/>
        <w:rPr>
          <w:rFonts w:cs="Times New Roman"/>
          <w:lang w:val="en-GB"/>
        </w:rPr>
      </w:pPr>
      <w:r w:rsidRPr="00EB20B8">
        <w:rPr>
          <w:rFonts w:cs="Times New Roman"/>
          <w:lang w:val="en-GB"/>
        </w:rPr>
        <w:t>foreign minors</w:t>
      </w:r>
      <w:r w:rsidR="00BE4BB7" w:rsidRPr="00EB20B8">
        <w:rPr>
          <w:rFonts w:cs="Times New Roman"/>
          <w:lang w:val="en-GB"/>
        </w:rPr>
        <w:t>.</w:t>
      </w:r>
    </w:p>
    <w:p w14:paraId="346CDB70" w14:textId="556C114E" w:rsidR="0010786D" w:rsidRDefault="0010786D" w:rsidP="00012024">
      <w:pPr>
        <w:tabs>
          <w:tab w:val="left" w:pos="284"/>
          <w:tab w:val="left" w:pos="708"/>
          <w:tab w:val="left" w:pos="1416"/>
          <w:tab w:val="left" w:pos="2124"/>
          <w:tab w:val="left" w:pos="2832"/>
          <w:tab w:val="left" w:pos="3540"/>
          <w:tab w:val="left" w:pos="4248"/>
          <w:tab w:val="left" w:pos="4956"/>
          <w:tab w:val="left" w:pos="5664"/>
          <w:tab w:val="left" w:pos="6184"/>
        </w:tabs>
        <w:spacing w:before="240" w:after="120" w:line="220" w:lineRule="exact"/>
        <w:rPr>
          <w:rFonts w:cs="Times New Roman"/>
          <w:b/>
          <w:smallCaps/>
          <w:sz w:val="18"/>
          <w:szCs w:val="18"/>
          <w:lang w:val="en-GB"/>
        </w:rPr>
      </w:pPr>
    </w:p>
    <w:p w14:paraId="2DE0AEEF" w14:textId="77777777" w:rsidR="005B4567" w:rsidRDefault="005B4567" w:rsidP="00012024">
      <w:pPr>
        <w:tabs>
          <w:tab w:val="left" w:pos="284"/>
          <w:tab w:val="left" w:pos="708"/>
          <w:tab w:val="left" w:pos="1416"/>
          <w:tab w:val="left" w:pos="2124"/>
          <w:tab w:val="left" w:pos="2832"/>
          <w:tab w:val="left" w:pos="3540"/>
          <w:tab w:val="left" w:pos="4248"/>
          <w:tab w:val="left" w:pos="4956"/>
          <w:tab w:val="left" w:pos="5664"/>
          <w:tab w:val="left" w:pos="6184"/>
        </w:tabs>
        <w:spacing w:before="240" w:after="120" w:line="220" w:lineRule="exact"/>
        <w:rPr>
          <w:rFonts w:cs="Times New Roman"/>
          <w:b/>
          <w:smallCaps/>
          <w:sz w:val="18"/>
          <w:szCs w:val="18"/>
          <w:lang w:val="en-GB"/>
        </w:rPr>
      </w:pPr>
    </w:p>
    <w:p w14:paraId="06810FC9" w14:textId="2E2DF716" w:rsidR="00B2265C" w:rsidRPr="00EB20B8" w:rsidRDefault="008032AD" w:rsidP="00012024">
      <w:pPr>
        <w:tabs>
          <w:tab w:val="left" w:pos="284"/>
          <w:tab w:val="left" w:pos="708"/>
          <w:tab w:val="left" w:pos="1416"/>
          <w:tab w:val="left" w:pos="2124"/>
          <w:tab w:val="left" w:pos="2832"/>
          <w:tab w:val="left" w:pos="3540"/>
          <w:tab w:val="left" w:pos="4248"/>
          <w:tab w:val="left" w:pos="4956"/>
          <w:tab w:val="left" w:pos="5664"/>
          <w:tab w:val="left" w:pos="6184"/>
        </w:tabs>
        <w:spacing w:before="240" w:after="120" w:line="220" w:lineRule="exact"/>
        <w:rPr>
          <w:rFonts w:cs="Times New Roman"/>
          <w:b/>
          <w:smallCaps/>
          <w:sz w:val="18"/>
          <w:szCs w:val="18"/>
          <w:lang w:val="en-GB"/>
        </w:rPr>
      </w:pPr>
      <w:r w:rsidRPr="00EB20B8">
        <w:rPr>
          <w:rFonts w:cs="Times New Roman"/>
          <w:b/>
          <w:smallCaps/>
          <w:sz w:val="18"/>
          <w:szCs w:val="18"/>
          <w:lang w:val="en-GB"/>
        </w:rPr>
        <w:lastRenderedPageBreak/>
        <w:t>II Modul</w:t>
      </w:r>
      <w:r w:rsidR="00F91E21" w:rsidRPr="00EB20B8">
        <w:rPr>
          <w:rFonts w:cs="Times New Roman"/>
          <w:b/>
          <w:smallCaps/>
          <w:sz w:val="18"/>
          <w:szCs w:val="18"/>
          <w:lang w:val="en-GB"/>
        </w:rPr>
        <w:t>e</w:t>
      </w:r>
      <w:r w:rsidRPr="00EB20B8">
        <w:rPr>
          <w:rFonts w:cs="Times New Roman"/>
          <w:b/>
          <w:smallCaps/>
          <w:sz w:val="18"/>
          <w:szCs w:val="18"/>
          <w:lang w:val="en-GB"/>
        </w:rPr>
        <w:t>: Prof.</w:t>
      </w:r>
      <w:r w:rsidR="008D544D" w:rsidRPr="00EB20B8">
        <w:rPr>
          <w:rFonts w:cs="Times New Roman"/>
          <w:b/>
          <w:smallCaps/>
          <w:sz w:val="18"/>
          <w:szCs w:val="18"/>
          <w:lang w:val="en-GB"/>
        </w:rPr>
        <w:t xml:space="preserve"> </w:t>
      </w:r>
      <w:r w:rsidR="00891FB6" w:rsidRPr="00EB20B8">
        <w:rPr>
          <w:rFonts w:cs="Times New Roman"/>
          <w:b/>
          <w:smallCaps/>
          <w:sz w:val="18"/>
          <w:szCs w:val="18"/>
          <w:lang w:val="en-GB"/>
        </w:rPr>
        <w:t>Eleonora Crapolicchio</w:t>
      </w:r>
    </w:p>
    <w:p w14:paraId="307CF53D" w14:textId="1D1571FD" w:rsidR="0082674A" w:rsidRPr="0010786D" w:rsidRDefault="00EB20B8" w:rsidP="0082674A">
      <w:pPr>
        <w:tabs>
          <w:tab w:val="left" w:pos="284"/>
          <w:tab w:val="left" w:pos="708"/>
          <w:tab w:val="left" w:pos="1416"/>
          <w:tab w:val="left" w:pos="2124"/>
          <w:tab w:val="left" w:pos="2832"/>
          <w:tab w:val="left" w:pos="3540"/>
          <w:tab w:val="left" w:pos="4248"/>
          <w:tab w:val="left" w:pos="4956"/>
          <w:tab w:val="left" w:pos="5664"/>
          <w:tab w:val="left" w:pos="6184"/>
        </w:tabs>
        <w:spacing w:before="240" w:after="120"/>
        <w:rPr>
          <w:lang w:val="en-GB"/>
        </w:rPr>
      </w:pPr>
      <w:r w:rsidRPr="0010786D">
        <w:rPr>
          <w:lang w:val="en-GB"/>
        </w:rPr>
        <w:t xml:space="preserve">The second part of the course will provide an exhaustive picture of the characteristics and consequences of abuse </w:t>
      </w:r>
      <w:r w:rsidR="004B2C3A" w:rsidRPr="0010786D">
        <w:rPr>
          <w:lang w:val="en-GB"/>
        </w:rPr>
        <w:t>in</w:t>
      </w:r>
      <w:r w:rsidRPr="0010786D">
        <w:rPr>
          <w:lang w:val="en-GB"/>
        </w:rPr>
        <w:t xml:space="preserve"> the couple (Intimate Partner Violence) and the </w:t>
      </w:r>
      <w:r w:rsidR="004B2C3A" w:rsidRPr="0010786D">
        <w:rPr>
          <w:lang w:val="en-GB"/>
        </w:rPr>
        <w:t>characteristics</w:t>
      </w:r>
      <w:r w:rsidRPr="0010786D">
        <w:rPr>
          <w:lang w:val="en-GB"/>
        </w:rPr>
        <w:t xml:space="preserve"> of witnessing violence. </w:t>
      </w:r>
      <w:r w:rsidR="004B2C3A" w:rsidRPr="0010786D">
        <w:rPr>
          <w:lang w:val="en-GB"/>
        </w:rPr>
        <w:t xml:space="preserve">The course will also focus on </w:t>
      </w:r>
      <w:r w:rsidRPr="0010786D">
        <w:rPr>
          <w:lang w:val="en-GB"/>
        </w:rPr>
        <w:t xml:space="preserve">the tragic epilogue of domestic violence: cases of femicide and consequences on minor children. </w:t>
      </w:r>
      <w:r w:rsidR="004B2C3A" w:rsidRPr="0010786D">
        <w:rPr>
          <w:lang w:val="en-GB"/>
        </w:rPr>
        <w:t>The following topics will be addressed i</w:t>
      </w:r>
      <w:r w:rsidRPr="0010786D">
        <w:rPr>
          <w:lang w:val="en-GB"/>
        </w:rPr>
        <w:t>n detail</w:t>
      </w:r>
      <w:r w:rsidR="0082674A" w:rsidRPr="0010786D">
        <w:rPr>
          <w:lang w:val="en-GB"/>
        </w:rPr>
        <w:t>:</w:t>
      </w:r>
    </w:p>
    <w:p w14:paraId="44D8E5C0" w14:textId="73A0020C" w:rsidR="0082674A" w:rsidRPr="0010786D" w:rsidRDefault="004B2C3A" w:rsidP="0082674A">
      <w:pPr>
        <w:pStyle w:val="Paragrafoelenco"/>
        <w:numPr>
          <w:ilvl w:val="0"/>
          <w:numId w:val="2"/>
        </w:numPr>
        <w:tabs>
          <w:tab w:val="left" w:pos="708"/>
        </w:tabs>
        <w:spacing w:before="120" w:after="120"/>
        <w:ind w:left="714" w:hanging="357"/>
        <w:rPr>
          <w:lang w:val="en-GB"/>
        </w:rPr>
      </w:pPr>
      <w:r w:rsidRPr="0010786D">
        <w:rPr>
          <w:lang w:val="en-GB"/>
        </w:rPr>
        <w:t xml:space="preserve">The roots of gender-based and domestic violence </w:t>
      </w:r>
    </w:p>
    <w:p w14:paraId="4FF2C041" w14:textId="666A259A" w:rsidR="0082674A" w:rsidRPr="0010786D" w:rsidRDefault="004B2C3A" w:rsidP="0082674A">
      <w:pPr>
        <w:pStyle w:val="Paragrafoelenco"/>
        <w:numPr>
          <w:ilvl w:val="0"/>
          <w:numId w:val="2"/>
        </w:numPr>
        <w:tabs>
          <w:tab w:val="left" w:pos="708"/>
        </w:tabs>
        <w:spacing w:before="120" w:after="120"/>
        <w:ind w:left="714" w:hanging="357"/>
        <w:rPr>
          <w:lang w:val="en-GB"/>
        </w:rPr>
      </w:pPr>
      <w:r w:rsidRPr="0010786D">
        <w:rPr>
          <w:lang w:val="en-GB"/>
        </w:rPr>
        <w:t xml:space="preserve">The characteristics of domestic violence in the couple </w:t>
      </w:r>
    </w:p>
    <w:p w14:paraId="2EC65EB9" w14:textId="6B35850D" w:rsidR="0082674A" w:rsidRPr="0010786D" w:rsidRDefault="004B2C3A" w:rsidP="0082674A">
      <w:pPr>
        <w:pStyle w:val="Paragrafoelenco"/>
        <w:numPr>
          <w:ilvl w:val="0"/>
          <w:numId w:val="2"/>
        </w:numPr>
        <w:tabs>
          <w:tab w:val="left" w:pos="708"/>
        </w:tabs>
        <w:spacing w:before="120" w:after="120"/>
        <w:ind w:left="714" w:hanging="357"/>
        <w:rPr>
          <w:lang w:val="en-GB"/>
        </w:rPr>
      </w:pPr>
      <w:r w:rsidRPr="0010786D">
        <w:rPr>
          <w:lang w:val="en-GB"/>
        </w:rPr>
        <w:t>The effects and consequences of domestic violence</w:t>
      </w:r>
    </w:p>
    <w:p w14:paraId="0B2CA245" w14:textId="541E8CE7" w:rsidR="0082674A" w:rsidRPr="0010786D" w:rsidRDefault="004B2C3A" w:rsidP="0082674A">
      <w:pPr>
        <w:pStyle w:val="Paragrafoelenco"/>
        <w:numPr>
          <w:ilvl w:val="0"/>
          <w:numId w:val="2"/>
        </w:numPr>
        <w:tabs>
          <w:tab w:val="left" w:pos="708"/>
        </w:tabs>
        <w:spacing w:before="120" w:after="120"/>
        <w:ind w:left="714" w:hanging="357"/>
        <w:rPr>
          <w:lang w:val="en-GB"/>
        </w:rPr>
      </w:pPr>
      <w:r w:rsidRPr="0010786D">
        <w:rPr>
          <w:lang w:val="en-GB"/>
        </w:rPr>
        <w:t>The social perception of abuse</w:t>
      </w:r>
    </w:p>
    <w:p w14:paraId="4A59FA59" w14:textId="066E50F0" w:rsidR="0082674A" w:rsidRPr="0010786D" w:rsidRDefault="004B2C3A" w:rsidP="0082674A">
      <w:pPr>
        <w:pStyle w:val="Paragrafoelenco"/>
        <w:numPr>
          <w:ilvl w:val="0"/>
          <w:numId w:val="2"/>
        </w:numPr>
        <w:tabs>
          <w:tab w:val="left" w:pos="708"/>
        </w:tabs>
        <w:spacing w:before="120" w:after="120"/>
        <w:ind w:left="714" w:hanging="357"/>
        <w:rPr>
          <w:lang w:val="en-GB"/>
        </w:rPr>
      </w:pPr>
      <w:r w:rsidRPr="0010786D">
        <w:rPr>
          <w:lang w:val="en-GB"/>
        </w:rPr>
        <w:t xml:space="preserve">Characteristics and effects of witnessing violence: the intergenerational transmission of violence </w:t>
      </w:r>
      <w:r w:rsidR="0082674A" w:rsidRPr="0010786D">
        <w:rPr>
          <w:lang w:val="en-GB"/>
        </w:rPr>
        <w:t xml:space="preserve"> </w:t>
      </w:r>
    </w:p>
    <w:p w14:paraId="78E5F488" w14:textId="4796358B" w:rsidR="0082674A" w:rsidRPr="0010786D" w:rsidRDefault="00864F6A" w:rsidP="0082674A">
      <w:pPr>
        <w:pStyle w:val="Paragrafoelenco"/>
        <w:numPr>
          <w:ilvl w:val="0"/>
          <w:numId w:val="2"/>
        </w:numPr>
        <w:tabs>
          <w:tab w:val="left" w:pos="708"/>
        </w:tabs>
        <w:spacing w:before="120" w:after="120"/>
        <w:ind w:left="714" w:hanging="357"/>
        <w:rPr>
          <w:lang w:val="en-GB"/>
        </w:rPr>
      </w:pPr>
      <w:r w:rsidRPr="0010786D">
        <w:rPr>
          <w:lang w:val="en-GB"/>
        </w:rPr>
        <w:t>Cases of femicide and effects on minors</w:t>
      </w:r>
    </w:p>
    <w:p w14:paraId="28E2FB32" w14:textId="5BC60BA3" w:rsidR="0082674A" w:rsidRPr="0010786D" w:rsidRDefault="00864F6A" w:rsidP="0082674A">
      <w:pPr>
        <w:pStyle w:val="Paragrafoelenco"/>
        <w:numPr>
          <w:ilvl w:val="0"/>
          <w:numId w:val="2"/>
        </w:numPr>
        <w:tabs>
          <w:tab w:val="left" w:pos="708"/>
        </w:tabs>
        <w:spacing w:before="120" w:after="120"/>
        <w:ind w:left="714" w:hanging="357"/>
        <w:rPr>
          <w:lang w:val="en-GB"/>
        </w:rPr>
      </w:pPr>
      <w:r w:rsidRPr="0010786D">
        <w:rPr>
          <w:lang w:val="en-GB"/>
        </w:rPr>
        <w:t>Guidelines for intervention with children orphaned by feminicide</w:t>
      </w:r>
    </w:p>
    <w:p w14:paraId="26CB7552" w14:textId="2B270AA2" w:rsidR="0082674A" w:rsidRPr="0010786D" w:rsidRDefault="00EB20B8" w:rsidP="0082674A">
      <w:pPr>
        <w:tabs>
          <w:tab w:val="left" w:pos="284"/>
          <w:tab w:val="left" w:pos="708"/>
          <w:tab w:val="left" w:pos="1416"/>
          <w:tab w:val="left" w:pos="2124"/>
          <w:tab w:val="left" w:pos="2832"/>
          <w:tab w:val="left" w:pos="3540"/>
          <w:tab w:val="left" w:pos="4248"/>
          <w:tab w:val="left" w:pos="4956"/>
          <w:tab w:val="left" w:pos="5664"/>
          <w:tab w:val="left" w:pos="6184"/>
        </w:tabs>
        <w:spacing w:before="240" w:after="120" w:line="220" w:lineRule="exact"/>
        <w:rPr>
          <w:rFonts w:cs="Times New Roman"/>
          <w:b/>
          <w:smallCaps/>
          <w:lang w:val="en-GB"/>
        </w:rPr>
      </w:pPr>
      <w:r w:rsidRPr="0010786D">
        <w:rPr>
          <w:lang w:val="en-GB"/>
        </w:rPr>
        <w:t>The theoretical discussion of these issues will be supplemented with the presentation of case studies</w:t>
      </w:r>
      <w:r w:rsidR="0082674A" w:rsidRPr="0010786D">
        <w:rPr>
          <w:lang w:val="en-GB"/>
        </w:rPr>
        <w:t>.</w:t>
      </w:r>
    </w:p>
    <w:p w14:paraId="409F8A27" w14:textId="77777777" w:rsidR="001430D0" w:rsidRPr="002675DD" w:rsidRDefault="001430D0" w:rsidP="001430D0">
      <w:pPr>
        <w:keepNext/>
        <w:spacing w:before="240" w:after="120"/>
        <w:rPr>
          <w:b/>
          <w:sz w:val="18"/>
        </w:rPr>
      </w:pPr>
      <w:r w:rsidRPr="0010786D">
        <w:rPr>
          <w:b/>
          <w:i/>
          <w:sz w:val="18"/>
        </w:rPr>
        <w:t>READING LIST</w:t>
      </w:r>
    </w:p>
    <w:p w14:paraId="638CDAAC" w14:textId="043B2C83" w:rsidR="00B2265C" w:rsidRPr="002675DD" w:rsidRDefault="0053467B" w:rsidP="00527E14">
      <w:pPr>
        <w:spacing w:before="120" w:after="120"/>
        <w:rPr>
          <w:rFonts w:cs="Times New Roman"/>
          <w:i/>
          <w:iCs/>
          <w:sz w:val="18"/>
          <w:szCs w:val="18"/>
        </w:rPr>
      </w:pPr>
      <w:r w:rsidRPr="002675DD">
        <w:rPr>
          <w:rFonts w:cs="Times New Roman"/>
          <w:i/>
          <w:iCs/>
          <w:sz w:val="18"/>
          <w:szCs w:val="18"/>
        </w:rPr>
        <w:t>For</w:t>
      </w:r>
      <w:r w:rsidR="008032AD" w:rsidRPr="002675DD">
        <w:rPr>
          <w:rFonts w:cs="Times New Roman"/>
          <w:i/>
          <w:iCs/>
          <w:sz w:val="18"/>
          <w:szCs w:val="18"/>
        </w:rPr>
        <w:t xml:space="preserve"> I</w:t>
      </w:r>
      <w:r w:rsidR="00A34C99" w:rsidRPr="002675DD">
        <w:rPr>
          <w:rFonts w:cs="Times New Roman"/>
          <w:i/>
          <w:iCs/>
          <w:sz w:val="18"/>
          <w:szCs w:val="18"/>
        </w:rPr>
        <w:t xml:space="preserve"> </w:t>
      </w:r>
      <w:r w:rsidR="008032AD" w:rsidRPr="002675DD">
        <w:rPr>
          <w:rFonts w:cs="Times New Roman"/>
          <w:i/>
          <w:iCs/>
          <w:sz w:val="18"/>
          <w:szCs w:val="18"/>
        </w:rPr>
        <w:t>modul</w:t>
      </w:r>
      <w:r w:rsidR="00A34C99" w:rsidRPr="002675DD">
        <w:rPr>
          <w:rFonts w:cs="Times New Roman"/>
          <w:i/>
          <w:iCs/>
          <w:sz w:val="18"/>
          <w:szCs w:val="18"/>
        </w:rPr>
        <w:t>e</w:t>
      </w:r>
    </w:p>
    <w:p w14:paraId="63875783" w14:textId="495A6DB8" w:rsidR="00E51B24" w:rsidRPr="002675DD" w:rsidRDefault="00E51B24" w:rsidP="00AA56C5">
      <w:pPr>
        <w:spacing w:before="240" w:after="120"/>
        <w:rPr>
          <w:rFonts w:cs="Times New Roman"/>
          <w:i/>
          <w:iCs/>
          <w:sz w:val="18"/>
          <w:szCs w:val="18"/>
        </w:rPr>
      </w:pPr>
      <w:r w:rsidRPr="002675DD">
        <w:rPr>
          <w:rFonts w:cs="Times New Roman"/>
          <w:smallCaps/>
          <w:sz w:val="16"/>
          <w:szCs w:val="16"/>
        </w:rPr>
        <w:t>P. Patrizi</w:t>
      </w:r>
      <w:r w:rsidRPr="002675DD">
        <w:rPr>
          <w:rFonts w:cs="Times New Roman"/>
          <w:sz w:val="16"/>
          <w:szCs w:val="16"/>
        </w:rPr>
        <w:t xml:space="preserve"> </w:t>
      </w:r>
      <w:r w:rsidRPr="002675DD">
        <w:rPr>
          <w:rFonts w:cs="Times New Roman"/>
          <w:sz w:val="18"/>
          <w:szCs w:val="18"/>
        </w:rPr>
        <w:t>(</w:t>
      </w:r>
      <w:r w:rsidR="00A34C99" w:rsidRPr="002675DD">
        <w:rPr>
          <w:rFonts w:cs="Times New Roman"/>
          <w:sz w:val="18"/>
          <w:szCs w:val="18"/>
        </w:rPr>
        <w:t>edited by</w:t>
      </w:r>
      <w:r w:rsidRPr="002675DD">
        <w:rPr>
          <w:rFonts w:cs="Times New Roman"/>
          <w:sz w:val="18"/>
          <w:szCs w:val="18"/>
        </w:rPr>
        <w:t>),</w:t>
      </w:r>
      <w:r w:rsidRPr="002675DD">
        <w:rPr>
          <w:rFonts w:cs="Times New Roman"/>
          <w:i/>
          <w:iCs/>
          <w:sz w:val="18"/>
          <w:szCs w:val="18"/>
        </w:rPr>
        <w:t xml:space="preserve"> Manuale di psicologia giuridica minorile, </w:t>
      </w:r>
      <w:r w:rsidRPr="002675DD">
        <w:rPr>
          <w:rFonts w:cs="Times New Roman"/>
          <w:sz w:val="18"/>
          <w:szCs w:val="18"/>
        </w:rPr>
        <w:t>Carocci, Rom</w:t>
      </w:r>
      <w:r w:rsidR="00A34C99" w:rsidRPr="002675DD">
        <w:rPr>
          <w:rFonts w:cs="Times New Roman"/>
          <w:sz w:val="18"/>
          <w:szCs w:val="18"/>
        </w:rPr>
        <w:t>e</w:t>
      </w:r>
      <w:r w:rsidRPr="002675DD">
        <w:rPr>
          <w:rFonts w:cs="Times New Roman"/>
          <w:sz w:val="18"/>
          <w:szCs w:val="18"/>
        </w:rPr>
        <w:t>, 2012</w:t>
      </w:r>
      <w:r w:rsidRPr="002675DD">
        <w:rPr>
          <w:rFonts w:cs="Times New Roman"/>
          <w:i/>
          <w:iCs/>
          <w:sz w:val="18"/>
          <w:szCs w:val="18"/>
        </w:rPr>
        <w:t xml:space="preserve">. </w:t>
      </w:r>
    </w:p>
    <w:p w14:paraId="5A3521AB" w14:textId="01B43765" w:rsidR="00E51B24" w:rsidRPr="00EB20B8" w:rsidRDefault="00BD1E8F" w:rsidP="00AA56C5">
      <w:pPr>
        <w:spacing w:before="240" w:after="120"/>
        <w:rPr>
          <w:rFonts w:cs="Times New Roman"/>
          <w:i/>
          <w:iCs/>
          <w:sz w:val="18"/>
          <w:szCs w:val="18"/>
          <w:lang w:val="en-GB"/>
        </w:rPr>
      </w:pPr>
      <w:r w:rsidRPr="00EB20B8">
        <w:rPr>
          <w:rFonts w:cs="Times New Roman"/>
          <w:sz w:val="18"/>
          <w:szCs w:val="18"/>
          <w:lang w:val="en-GB"/>
        </w:rPr>
        <w:t>A textbook chosen form the following</w:t>
      </w:r>
      <w:r w:rsidR="00E51B24" w:rsidRPr="00EB20B8">
        <w:rPr>
          <w:rFonts w:cs="Times New Roman"/>
          <w:sz w:val="18"/>
          <w:szCs w:val="18"/>
          <w:lang w:val="en-GB"/>
        </w:rPr>
        <w:t>:</w:t>
      </w:r>
    </w:p>
    <w:p w14:paraId="4359783C" w14:textId="77777777" w:rsidR="00E51B24" w:rsidRPr="002675DD" w:rsidRDefault="00E51B24" w:rsidP="00AA56C5">
      <w:pPr>
        <w:ind w:left="284" w:hanging="284"/>
        <w:rPr>
          <w:rFonts w:cs="Times New Roman"/>
          <w:i/>
          <w:iCs/>
          <w:sz w:val="18"/>
          <w:szCs w:val="18"/>
        </w:rPr>
      </w:pPr>
      <w:r w:rsidRPr="002675DD">
        <w:rPr>
          <w:rFonts w:cs="Times New Roman"/>
          <w:smallCaps/>
          <w:sz w:val="16"/>
          <w:szCs w:val="16"/>
        </w:rPr>
        <w:t>P. Di Blasio</w:t>
      </w:r>
      <w:r w:rsidRPr="002675DD">
        <w:rPr>
          <w:rFonts w:cs="Times New Roman"/>
          <w:i/>
          <w:iCs/>
          <w:sz w:val="18"/>
          <w:szCs w:val="18"/>
        </w:rPr>
        <w:t xml:space="preserve">, Psicologia del bambino maltrattato, </w:t>
      </w:r>
      <w:r w:rsidRPr="002675DD">
        <w:rPr>
          <w:rFonts w:cs="Times New Roman"/>
          <w:iCs/>
          <w:sz w:val="18"/>
          <w:szCs w:val="18"/>
        </w:rPr>
        <w:t>i</w:t>
      </w:r>
      <w:r w:rsidRPr="002675DD">
        <w:rPr>
          <w:rFonts w:cs="Times New Roman"/>
          <w:sz w:val="18"/>
          <w:szCs w:val="18"/>
        </w:rPr>
        <w:t>l Mulino, Bologna, 2000.</w:t>
      </w:r>
    </w:p>
    <w:p w14:paraId="5A666AD7" w14:textId="2734324A" w:rsidR="00E51B24" w:rsidRPr="002675DD" w:rsidRDefault="00E51B24" w:rsidP="00AA56C5">
      <w:pPr>
        <w:pStyle w:val="DidefaultA"/>
        <w:ind w:left="284" w:hanging="284"/>
        <w:rPr>
          <w:rFonts w:ascii="Times New Roman" w:eastAsia="Times New Roman" w:hAnsi="Times New Roman" w:cs="Times New Roman"/>
          <w:i/>
          <w:iCs/>
          <w:sz w:val="18"/>
          <w:szCs w:val="18"/>
        </w:rPr>
      </w:pPr>
      <w:r w:rsidRPr="002675DD">
        <w:rPr>
          <w:rFonts w:ascii="Times New Roman" w:hAnsi="Times New Roman" w:cs="Times New Roman"/>
          <w:smallCaps/>
          <w:sz w:val="16"/>
          <w:szCs w:val="16"/>
        </w:rPr>
        <w:t>M. Puliatti</w:t>
      </w:r>
      <w:r w:rsidRPr="002675DD">
        <w:rPr>
          <w:rFonts w:ascii="Times New Roman" w:hAnsi="Times New Roman" w:cs="Times New Roman"/>
          <w:i/>
          <w:iCs/>
          <w:sz w:val="16"/>
          <w:szCs w:val="16"/>
        </w:rPr>
        <w:t>,</w:t>
      </w:r>
      <w:r w:rsidRPr="002675DD">
        <w:rPr>
          <w:rFonts w:ascii="Times New Roman" w:hAnsi="Times New Roman" w:cs="Times New Roman"/>
          <w:i/>
          <w:iCs/>
          <w:sz w:val="18"/>
          <w:szCs w:val="18"/>
        </w:rPr>
        <w:t xml:space="preserve"> Comunità per minori. Selezione, formazione e supervisione degli educatori, </w:t>
      </w:r>
      <w:r w:rsidRPr="002675DD">
        <w:rPr>
          <w:rFonts w:ascii="Times New Roman" w:hAnsi="Times New Roman" w:cs="Times New Roman"/>
          <w:sz w:val="18"/>
          <w:szCs w:val="18"/>
        </w:rPr>
        <w:t>Alpes Italia, Rom</w:t>
      </w:r>
      <w:r w:rsidR="00A34C99" w:rsidRPr="002675DD">
        <w:rPr>
          <w:rFonts w:ascii="Times New Roman" w:hAnsi="Times New Roman" w:cs="Times New Roman"/>
          <w:sz w:val="18"/>
          <w:szCs w:val="18"/>
        </w:rPr>
        <w:t>e</w:t>
      </w:r>
      <w:r w:rsidRPr="002675DD">
        <w:rPr>
          <w:rFonts w:ascii="Times New Roman" w:hAnsi="Times New Roman" w:cs="Times New Roman"/>
          <w:sz w:val="18"/>
          <w:szCs w:val="18"/>
        </w:rPr>
        <w:t>, 2014</w:t>
      </w:r>
      <w:r w:rsidRPr="002675DD">
        <w:rPr>
          <w:rFonts w:ascii="Times New Roman" w:hAnsi="Times New Roman" w:cs="Times New Roman"/>
          <w:i/>
          <w:iCs/>
          <w:sz w:val="18"/>
          <w:szCs w:val="18"/>
        </w:rPr>
        <w:t>.</w:t>
      </w:r>
    </w:p>
    <w:p w14:paraId="261D9A2A" w14:textId="77777777" w:rsidR="00E51B24" w:rsidRPr="002675DD" w:rsidRDefault="00E51B24" w:rsidP="00AA56C5">
      <w:pPr>
        <w:pStyle w:val="DidefaultA"/>
        <w:ind w:left="284" w:hanging="284"/>
        <w:rPr>
          <w:rFonts w:ascii="Times New Roman" w:eastAsia="Times New Roman" w:hAnsi="Times New Roman" w:cs="Times New Roman"/>
          <w:i/>
          <w:iCs/>
          <w:sz w:val="18"/>
          <w:szCs w:val="18"/>
        </w:rPr>
      </w:pPr>
      <w:r w:rsidRPr="002675DD">
        <w:rPr>
          <w:rFonts w:ascii="Times New Roman" w:hAnsi="Times New Roman" w:cs="Times New Roman"/>
          <w:smallCaps/>
          <w:sz w:val="16"/>
          <w:szCs w:val="16"/>
        </w:rPr>
        <w:t>F. Zamengo - N. Valenzano</w:t>
      </w:r>
      <w:r w:rsidRPr="002675DD">
        <w:rPr>
          <w:rFonts w:ascii="Times New Roman" w:hAnsi="Times New Roman" w:cs="Times New Roman"/>
          <w:i/>
          <w:iCs/>
          <w:sz w:val="18"/>
          <w:szCs w:val="18"/>
        </w:rPr>
        <w:t xml:space="preserve">, Protezione e rischio nei processi educativi, </w:t>
      </w:r>
      <w:r w:rsidRPr="002675DD">
        <w:rPr>
          <w:rFonts w:ascii="Times New Roman" w:hAnsi="Times New Roman" w:cs="Times New Roman"/>
          <w:sz w:val="18"/>
          <w:szCs w:val="18"/>
        </w:rPr>
        <w:t>Edizioni Junior, Bergamo, 2019.</w:t>
      </w:r>
    </w:p>
    <w:p w14:paraId="74BB0EC9" w14:textId="36D871D3" w:rsidR="00B2265C" w:rsidRPr="002675DD" w:rsidRDefault="00A34C99" w:rsidP="00AA56C5">
      <w:pPr>
        <w:spacing w:before="240" w:after="120"/>
        <w:rPr>
          <w:rFonts w:cs="Times New Roman"/>
          <w:i/>
          <w:iCs/>
          <w:sz w:val="18"/>
          <w:szCs w:val="18"/>
        </w:rPr>
      </w:pPr>
      <w:r w:rsidRPr="002675DD">
        <w:rPr>
          <w:rFonts w:cs="Times New Roman"/>
          <w:i/>
          <w:iCs/>
          <w:sz w:val="18"/>
          <w:szCs w:val="18"/>
        </w:rPr>
        <w:t>For</w:t>
      </w:r>
      <w:r w:rsidR="008032AD" w:rsidRPr="002675DD">
        <w:rPr>
          <w:rFonts w:cs="Times New Roman"/>
          <w:i/>
          <w:iCs/>
          <w:sz w:val="18"/>
          <w:szCs w:val="18"/>
        </w:rPr>
        <w:t xml:space="preserve"> II modu</w:t>
      </w:r>
      <w:r w:rsidRPr="002675DD">
        <w:rPr>
          <w:rFonts w:cs="Times New Roman"/>
          <w:i/>
          <w:iCs/>
          <w:sz w:val="18"/>
          <w:szCs w:val="18"/>
        </w:rPr>
        <w:t>le</w:t>
      </w:r>
    </w:p>
    <w:p w14:paraId="79B37211" w14:textId="77777777" w:rsidR="0082674A" w:rsidRPr="002675DD" w:rsidRDefault="0082674A" w:rsidP="0082674A">
      <w:pPr>
        <w:rPr>
          <w:rFonts w:cs="Times New Roman"/>
          <w:color w:val="auto"/>
          <w:sz w:val="18"/>
          <w:szCs w:val="18"/>
        </w:rPr>
      </w:pPr>
      <w:r w:rsidRPr="002675DD">
        <w:rPr>
          <w:rFonts w:cs="Times New Roman"/>
          <w:smallCaps/>
          <w:color w:val="auto"/>
          <w:sz w:val="16"/>
          <w:szCs w:val="16"/>
        </w:rPr>
        <w:t>Anna Costanza Baldry</w:t>
      </w:r>
      <w:r w:rsidRPr="002675DD">
        <w:rPr>
          <w:rFonts w:cs="Times New Roman"/>
          <w:i/>
          <w:iCs/>
          <w:color w:val="auto"/>
          <w:sz w:val="18"/>
          <w:szCs w:val="18"/>
        </w:rPr>
        <w:t xml:space="preserve"> Orfani speciali: Chi sono, dove sono, con chi sono. Conseguenze psicosociali su figlie e figli del femminicidio. </w:t>
      </w:r>
      <w:r w:rsidRPr="002675DD">
        <w:rPr>
          <w:rFonts w:cs="Times New Roman"/>
          <w:color w:val="auto"/>
          <w:sz w:val="18"/>
          <w:szCs w:val="18"/>
        </w:rPr>
        <w:t>Franco Angeli, 2013</w:t>
      </w:r>
    </w:p>
    <w:p w14:paraId="742BFE8B" w14:textId="77777777" w:rsidR="0082674A" w:rsidRPr="002675DD" w:rsidRDefault="0082674A" w:rsidP="0082674A">
      <w:pPr>
        <w:pStyle w:val="Paragrafoelenco"/>
        <w:ind w:left="714"/>
        <w:rPr>
          <w:rFonts w:cs="Times New Roman"/>
          <w:color w:val="auto"/>
          <w:sz w:val="18"/>
          <w:szCs w:val="18"/>
        </w:rPr>
      </w:pPr>
    </w:p>
    <w:p w14:paraId="56D10AD0" w14:textId="222A3999" w:rsidR="0082674A" w:rsidRPr="0010786D" w:rsidRDefault="00EB20B8" w:rsidP="0082674A">
      <w:pPr>
        <w:rPr>
          <w:rFonts w:cs="Times New Roman"/>
          <w:color w:val="auto"/>
          <w:sz w:val="18"/>
          <w:szCs w:val="18"/>
          <w:lang w:val="en-GB"/>
        </w:rPr>
      </w:pPr>
      <w:r w:rsidRPr="0010786D">
        <w:rPr>
          <w:rFonts w:cs="Times New Roman"/>
          <w:color w:val="auto"/>
          <w:sz w:val="18"/>
          <w:szCs w:val="18"/>
          <w:lang w:val="en-GB"/>
        </w:rPr>
        <w:t xml:space="preserve">Slides and course material </w:t>
      </w:r>
      <w:r w:rsidR="002675DD" w:rsidRPr="0010786D">
        <w:rPr>
          <w:rFonts w:cs="Times New Roman"/>
          <w:color w:val="auto"/>
          <w:sz w:val="18"/>
          <w:szCs w:val="18"/>
          <w:lang w:val="en-GB"/>
        </w:rPr>
        <w:t xml:space="preserve">will be </w:t>
      </w:r>
      <w:r w:rsidRPr="0010786D">
        <w:rPr>
          <w:rFonts w:cs="Times New Roman"/>
          <w:color w:val="auto"/>
          <w:sz w:val="18"/>
          <w:szCs w:val="18"/>
          <w:lang w:val="en-GB"/>
        </w:rPr>
        <w:t>available on the Blackboard platform</w:t>
      </w:r>
      <w:r w:rsidR="0082674A" w:rsidRPr="0010786D">
        <w:rPr>
          <w:rFonts w:cs="Times New Roman"/>
          <w:color w:val="auto"/>
          <w:sz w:val="18"/>
          <w:szCs w:val="18"/>
          <w:lang w:val="en-GB"/>
        </w:rPr>
        <w:t>.</w:t>
      </w:r>
    </w:p>
    <w:p w14:paraId="25E80247" w14:textId="77777777" w:rsidR="001430D0" w:rsidRPr="0010786D" w:rsidRDefault="001430D0" w:rsidP="001430D0">
      <w:pPr>
        <w:spacing w:before="240" w:after="120" w:line="220" w:lineRule="exact"/>
        <w:rPr>
          <w:b/>
          <w:i/>
          <w:noProof/>
          <w:sz w:val="18"/>
          <w:lang w:val="en-GB"/>
        </w:rPr>
      </w:pPr>
      <w:r w:rsidRPr="0010786D">
        <w:rPr>
          <w:b/>
          <w:i/>
          <w:noProof/>
          <w:sz w:val="18"/>
          <w:lang w:val="en-GB"/>
        </w:rPr>
        <w:lastRenderedPageBreak/>
        <w:t>TEACHING METHOD</w:t>
      </w:r>
    </w:p>
    <w:p w14:paraId="0170E3B6" w14:textId="1472A47B" w:rsidR="00B2265C" w:rsidRPr="0010786D" w:rsidRDefault="00ED6CC7" w:rsidP="00AA56C5">
      <w:pPr>
        <w:rPr>
          <w:rFonts w:cs="Times New Roman"/>
          <w:sz w:val="18"/>
          <w:szCs w:val="18"/>
          <w:lang w:val="en-GB"/>
        </w:rPr>
      </w:pPr>
      <w:r w:rsidRPr="0010786D">
        <w:rPr>
          <w:rFonts w:cs="Times New Roman"/>
          <w:sz w:val="18"/>
          <w:szCs w:val="18"/>
          <w:lang w:val="en-GB"/>
        </w:rPr>
        <w:t>During the course, lectures will alternate with practical exercises and group discussion</w:t>
      </w:r>
      <w:r w:rsidR="00BD1E8F" w:rsidRPr="0010786D">
        <w:rPr>
          <w:rFonts w:cs="Times New Roman"/>
          <w:sz w:val="18"/>
          <w:szCs w:val="18"/>
          <w:lang w:val="en-GB"/>
        </w:rPr>
        <w:t>s</w:t>
      </w:r>
      <w:r w:rsidRPr="0010786D">
        <w:rPr>
          <w:rFonts w:cs="Times New Roman"/>
          <w:sz w:val="18"/>
          <w:szCs w:val="18"/>
          <w:lang w:val="en-GB"/>
        </w:rPr>
        <w:t xml:space="preserve"> on </w:t>
      </w:r>
      <w:r w:rsidR="00BD1E8F" w:rsidRPr="0010786D">
        <w:rPr>
          <w:rFonts w:cs="Times New Roman"/>
          <w:sz w:val="18"/>
          <w:szCs w:val="18"/>
          <w:lang w:val="en-GB"/>
        </w:rPr>
        <w:t xml:space="preserve">the </w:t>
      </w:r>
      <w:r w:rsidRPr="0010786D">
        <w:rPr>
          <w:rFonts w:cs="Times New Roman"/>
          <w:sz w:val="18"/>
          <w:szCs w:val="18"/>
          <w:lang w:val="en-GB"/>
        </w:rPr>
        <w:t>application materials presented by the lecturers. The course will also include talks and seminars held by experts</w:t>
      </w:r>
      <w:r w:rsidR="008032AD" w:rsidRPr="0010786D">
        <w:rPr>
          <w:rFonts w:cs="Times New Roman"/>
          <w:sz w:val="18"/>
          <w:szCs w:val="18"/>
          <w:lang w:val="en-GB"/>
        </w:rPr>
        <w:t>.</w:t>
      </w:r>
    </w:p>
    <w:p w14:paraId="384547D9" w14:textId="77777777" w:rsidR="001430D0" w:rsidRPr="0010786D" w:rsidRDefault="001430D0" w:rsidP="001430D0">
      <w:pPr>
        <w:spacing w:before="240" w:after="120" w:line="220" w:lineRule="exact"/>
        <w:rPr>
          <w:b/>
          <w:i/>
          <w:noProof/>
          <w:sz w:val="18"/>
          <w:lang w:val="en-GB"/>
        </w:rPr>
      </w:pPr>
      <w:r w:rsidRPr="0010786D">
        <w:rPr>
          <w:b/>
          <w:i/>
          <w:noProof/>
          <w:sz w:val="18"/>
          <w:lang w:val="en-GB"/>
        </w:rPr>
        <w:t>ASSESSMENT METHOD AND CRITERIA</w:t>
      </w:r>
    </w:p>
    <w:p w14:paraId="3F7ED5E2" w14:textId="6F4F538B" w:rsidR="00B2265C" w:rsidRPr="0010786D" w:rsidRDefault="005D719A">
      <w:pPr>
        <w:rPr>
          <w:rFonts w:cs="Times New Roman"/>
          <w:sz w:val="18"/>
          <w:szCs w:val="18"/>
          <w:lang w:val="en-GB"/>
        </w:rPr>
      </w:pPr>
      <w:r w:rsidRPr="0010786D">
        <w:rPr>
          <w:rFonts w:cs="Times New Roman"/>
          <w:sz w:val="18"/>
          <w:szCs w:val="18"/>
          <w:lang w:val="en-GB"/>
        </w:rPr>
        <w:t>Learning will be verified through an oral exam consisting in the assessment of the students’ knowledge of the topics covered by the course programme, their acquisition of the specific language of the discipline, the reasoned and consistent structuring of the speech and ability to make connections between the topics presented</w:t>
      </w:r>
      <w:r w:rsidR="008032AD" w:rsidRPr="0010786D">
        <w:rPr>
          <w:rFonts w:cs="Times New Roman"/>
          <w:sz w:val="18"/>
          <w:szCs w:val="18"/>
          <w:lang w:val="en-GB"/>
        </w:rPr>
        <w:t xml:space="preserve">. </w:t>
      </w:r>
      <w:r w:rsidRPr="0010786D">
        <w:rPr>
          <w:rFonts w:cs="Times New Roman"/>
          <w:sz w:val="18"/>
          <w:szCs w:val="18"/>
          <w:lang w:val="en-GB"/>
        </w:rPr>
        <w:t xml:space="preserve">The oral interview includes a first part aimed at assessing the knowledge and skills covered the first module, and a second part aimed at assessing the knowledge and skills covered in the second module. The final mark results from the average of the assessments of the two </w:t>
      </w:r>
      <w:r w:rsidRPr="0010786D">
        <w:rPr>
          <w:lang w:val="en-GB"/>
        </w:rPr>
        <w:t>parts</w:t>
      </w:r>
      <w:r w:rsidR="008032AD" w:rsidRPr="0010786D">
        <w:rPr>
          <w:rFonts w:cs="Times New Roman"/>
          <w:sz w:val="18"/>
          <w:szCs w:val="18"/>
          <w:lang w:val="en-GB"/>
        </w:rPr>
        <w:t>.</w:t>
      </w:r>
    </w:p>
    <w:p w14:paraId="0B59630F" w14:textId="77777777" w:rsidR="001430D0" w:rsidRPr="0010786D" w:rsidRDefault="001430D0" w:rsidP="001430D0">
      <w:pPr>
        <w:spacing w:before="240" w:after="120"/>
        <w:rPr>
          <w:b/>
          <w:i/>
          <w:noProof/>
          <w:sz w:val="18"/>
          <w:lang w:val="en-GB"/>
        </w:rPr>
      </w:pPr>
      <w:r w:rsidRPr="0010786D">
        <w:rPr>
          <w:b/>
          <w:i/>
          <w:noProof/>
          <w:sz w:val="18"/>
          <w:lang w:val="en-GB"/>
        </w:rPr>
        <w:t>NOTES AND PREREQUISITES</w:t>
      </w:r>
    </w:p>
    <w:p w14:paraId="50440897" w14:textId="1F48ADF0" w:rsidR="00B2265C" w:rsidRPr="0010786D" w:rsidRDefault="00ED6CC7">
      <w:pPr>
        <w:pStyle w:val="Testo2"/>
        <w:ind w:firstLine="0"/>
        <w:rPr>
          <w:rFonts w:ascii="Times New Roman" w:hAnsi="Times New Roman" w:cs="Times New Roman"/>
          <w:lang w:val="en-GB"/>
        </w:rPr>
      </w:pPr>
      <w:r w:rsidRPr="0010786D">
        <w:rPr>
          <w:rFonts w:ascii="Times New Roman" w:hAnsi="Times New Roman" w:cs="Times New Roman"/>
          <w:lang w:val="en-GB"/>
        </w:rPr>
        <w:t>The course is introductory and there are no content-related prerequisites for attending it</w:t>
      </w:r>
      <w:r w:rsidR="00ED775B" w:rsidRPr="0010786D">
        <w:rPr>
          <w:rFonts w:ascii="Times New Roman" w:hAnsi="Times New Roman" w:cs="Times New Roman"/>
          <w:lang w:val="en-GB"/>
        </w:rPr>
        <w:t>.</w:t>
      </w:r>
    </w:p>
    <w:p w14:paraId="7D6DA1F1" w14:textId="77777777" w:rsidR="00AC13D3" w:rsidRPr="0010786D" w:rsidRDefault="00AC13D3" w:rsidP="00AC13D3">
      <w:pPr>
        <w:pStyle w:val="Testo2"/>
        <w:rPr>
          <w:lang w:val="en-GB"/>
        </w:rPr>
      </w:pPr>
      <w:bookmarkStart w:id="0" w:name="_Hlk77762819"/>
    </w:p>
    <w:p w14:paraId="5E3DE76E" w14:textId="5DDCDF41" w:rsidR="00AC13D3" w:rsidRPr="00EB20B8" w:rsidRDefault="00AC13D3" w:rsidP="00AC13D3">
      <w:pPr>
        <w:pStyle w:val="Testo2"/>
        <w:rPr>
          <w:lang w:val="en-GB"/>
        </w:rPr>
      </w:pPr>
      <w:r w:rsidRPr="0010786D">
        <w:rPr>
          <w:lang w:val="en-GB"/>
        </w:rPr>
        <w:t>Further information can be found on the lecturer's webpage at </w:t>
      </w:r>
      <w:hyperlink r:id="rId7" w:tgtFrame="_blank" w:history="1">
        <w:r w:rsidRPr="0010786D">
          <w:rPr>
            <w:lang w:val="en-GB"/>
          </w:rPr>
          <w:t>http://docenti.unicatt.it/web/searchByName.do?language=ENG</w:t>
        </w:r>
      </w:hyperlink>
      <w:r w:rsidRPr="0010786D">
        <w:rPr>
          <w:lang w:val="en-GB"/>
        </w:rPr>
        <w:t> or on the Faculty notice board.</w:t>
      </w:r>
    </w:p>
    <w:bookmarkEnd w:id="0"/>
    <w:p w14:paraId="7FE29A54" w14:textId="079AF1E1" w:rsidR="00B2265C" w:rsidRPr="00EB20B8" w:rsidRDefault="00B2265C" w:rsidP="00AC13D3">
      <w:pPr>
        <w:spacing w:before="240" w:after="120"/>
        <w:rPr>
          <w:rFonts w:cs="Times New Roman"/>
          <w:lang w:val="en-GB"/>
        </w:rPr>
      </w:pPr>
    </w:p>
    <w:sectPr w:rsidR="00B2265C" w:rsidRPr="00EB20B8" w:rsidSect="00527E1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D46E" w14:textId="77777777" w:rsidR="00174668" w:rsidRDefault="00174668">
      <w:pPr>
        <w:spacing w:line="240" w:lineRule="auto"/>
      </w:pPr>
      <w:r>
        <w:separator/>
      </w:r>
    </w:p>
  </w:endnote>
  <w:endnote w:type="continuationSeparator" w:id="0">
    <w:p w14:paraId="646E13F7" w14:textId="77777777" w:rsidR="00174668" w:rsidRDefault="00174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EB99" w14:textId="77777777" w:rsidR="00174668" w:rsidRDefault="00174668">
      <w:pPr>
        <w:spacing w:line="240" w:lineRule="auto"/>
      </w:pPr>
      <w:r>
        <w:separator/>
      </w:r>
    </w:p>
  </w:footnote>
  <w:footnote w:type="continuationSeparator" w:id="0">
    <w:p w14:paraId="21CC6959" w14:textId="77777777" w:rsidR="00174668" w:rsidRDefault="001746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5FA6"/>
    <w:multiLevelType w:val="hybridMultilevel"/>
    <w:tmpl w:val="56128B60"/>
    <w:styleLink w:val="Stileimportato1"/>
    <w:lvl w:ilvl="0" w:tplc="4ACA7930">
      <w:start w:val="1"/>
      <w:numFmt w:val="bullet"/>
      <w:lvlText w:val="-"/>
      <w:lvlJc w:val="left"/>
      <w:pPr>
        <w:tabs>
          <w:tab w:val="left" w:pos="284"/>
          <w:tab w:val="num" w:pos="708"/>
          <w:tab w:val="left" w:pos="1416"/>
          <w:tab w:val="left" w:pos="2124"/>
          <w:tab w:val="left" w:pos="2832"/>
          <w:tab w:val="left" w:pos="3540"/>
          <w:tab w:val="left" w:pos="4248"/>
          <w:tab w:val="left" w:pos="4956"/>
          <w:tab w:val="left" w:pos="5664"/>
          <w:tab w:val="left" w:pos="6184"/>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28262A">
      <w:start w:val="1"/>
      <w:numFmt w:val="bullet"/>
      <w:lvlText w:val="o"/>
      <w:lvlJc w:val="left"/>
      <w:pPr>
        <w:tabs>
          <w:tab w:val="left" w:pos="284"/>
          <w:tab w:val="left" w:pos="708"/>
          <w:tab w:val="num" w:pos="1416"/>
          <w:tab w:val="left" w:pos="2124"/>
          <w:tab w:val="left" w:pos="2832"/>
          <w:tab w:val="left" w:pos="3540"/>
          <w:tab w:val="left" w:pos="4248"/>
          <w:tab w:val="left" w:pos="4956"/>
          <w:tab w:val="left" w:pos="5664"/>
          <w:tab w:val="left" w:pos="6184"/>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2A6CE8">
      <w:start w:val="1"/>
      <w:numFmt w:val="bullet"/>
      <w:lvlText w:val="▪"/>
      <w:lvlJc w:val="left"/>
      <w:pPr>
        <w:tabs>
          <w:tab w:val="left" w:pos="284"/>
          <w:tab w:val="left" w:pos="708"/>
          <w:tab w:val="left" w:pos="1416"/>
          <w:tab w:val="num" w:pos="2124"/>
          <w:tab w:val="left" w:pos="2832"/>
          <w:tab w:val="left" w:pos="3540"/>
          <w:tab w:val="left" w:pos="4248"/>
          <w:tab w:val="left" w:pos="4956"/>
          <w:tab w:val="left" w:pos="5664"/>
          <w:tab w:val="left" w:pos="6184"/>
        </w:tabs>
        <w:ind w:left="213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6271EA">
      <w:start w:val="1"/>
      <w:numFmt w:val="bullet"/>
      <w:lvlText w:val="•"/>
      <w:lvlJc w:val="left"/>
      <w:pPr>
        <w:tabs>
          <w:tab w:val="left" w:pos="284"/>
          <w:tab w:val="left" w:pos="708"/>
          <w:tab w:val="left" w:pos="1416"/>
          <w:tab w:val="left" w:pos="2124"/>
          <w:tab w:val="num" w:pos="2832"/>
          <w:tab w:val="left" w:pos="3540"/>
          <w:tab w:val="left" w:pos="4248"/>
          <w:tab w:val="left" w:pos="4956"/>
          <w:tab w:val="left" w:pos="5664"/>
          <w:tab w:val="left" w:pos="6184"/>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FC4A42">
      <w:start w:val="1"/>
      <w:numFmt w:val="bullet"/>
      <w:lvlText w:val="o"/>
      <w:lvlJc w:val="left"/>
      <w:pPr>
        <w:tabs>
          <w:tab w:val="left" w:pos="284"/>
          <w:tab w:val="left" w:pos="708"/>
          <w:tab w:val="left" w:pos="1416"/>
          <w:tab w:val="left" w:pos="2124"/>
          <w:tab w:val="left" w:pos="2832"/>
          <w:tab w:val="num" w:pos="3540"/>
          <w:tab w:val="left" w:pos="4248"/>
          <w:tab w:val="left" w:pos="4956"/>
          <w:tab w:val="left" w:pos="5664"/>
          <w:tab w:val="left" w:pos="6184"/>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CB1AA">
      <w:start w:val="1"/>
      <w:numFmt w:val="bullet"/>
      <w:lvlText w:val="▪"/>
      <w:lvlJc w:val="left"/>
      <w:pPr>
        <w:tabs>
          <w:tab w:val="left" w:pos="284"/>
          <w:tab w:val="left" w:pos="708"/>
          <w:tab w:val="left" w:pos="1416"/>
          <w:tab w:val="left" w:pos="2124"/>
          <w:tab w:val="left" w:pos="2832"/>
          <w:tab w:val="left" w:pos="3540"/>
          <w:tab w:val="num" w:pos="4248"/>
          <w:tab w:val="left" w:pos="4956"/>
          <w:tab w:val="left" w:pos="5664"/>
          <w:tab w:val="left" w:pos="6184"/>
        </w:tabs>
        <w:ind w:left="42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76D29E">
      <w:start w:val="1"/>
      <w:numFmt w:val="bullet"/>
      <w:lvlText w:val="•"/>
      <w:lvlJc w:val="left"/>
      <w:pPr>
        <w:tabs>
          <w:tab w:val="left" w:pos="284"/>
          <w:tab w:val="left" w:pos="708"/>
          <w:tab w:val="left" w:pos="1416"/>
          <w:tab w:val="left" w:pos="2124"/>
          <w:tab w:val="left" w:pos="2832"/>
          <w:tab w:val="left" w:pos="3540"/>
          <w:tab w:val="left" w:pos="4248"/>
          <w:tab w:val="num" w:pos="4956"/>
          <w:tab w:val="left" w:pos="5664"/>
          <w:tab w:val="left" w:pos="6184"/>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5411A6">
      <w:start w:val="1"/>
      <w:numFmt w:val="bullet"/>
      <w:lvlText w:val="o"/>
      <w:lvlJc w:val="left"/>
      <w:pPr>
        <w:tabs>
          <w:tab w:val="left" w:pos="284"/>
          <w:tab w:val="left" w:pos="708"/>
          <w:tab w:val="left" w:pos="1416"/>
          <w:tab w:val="left" w:pos="2124"/>
          <w:tab w:val="left" w:pos="2832"/>
          <w:tab w:val="left" w:pos="3540"/>
          <w:tab w:val="left" w:pos="4248"/>
          <w:tab w:val="left" w:pos="4956"/>
          <w:tab w:val="num" w:pos="5664"/>
          <w:tab w:val="left" w:pos="618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1007F0">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left" w:pos="6184"/>
          <w:tab w:val="num" w:pos="6372"/>
        </w:tabs>
        <w:ind w:left="638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E5C6BFE"/>
    <w:multiLevelType w:val="hybridMultilevel"/>
    <w:tmpl w:val="56128B60"/>
    <w:numStyleLink w:val="Stileimportato1"/>
  </w:abstractNum>
  <w:num w:numId="1" w16cid:durableId="1404789259">
    <w:abstractNumId w:val="0"/>
  </w:num>
  <w:num w:numId="2" w16cid:durableId="824593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284"/>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65C"/>
    <w:rsid w:val="000050F3"/>
    <w:rsid w:val="00012024"/>
    <w:rsid w:val="00060A16"/>
    <w:rsid w:val="00085DDC"/>
    <w:rsid w:val="000A2B6E"/>
    <w:rsid w:val="000E0B7A"/>
    <w:rsid w:val="0010786D"/>
    <w:rsid w:val="001430D0"/>
    <w:rsid w:val="00174668"/>
    <w:rsid w:val="00187833"/>
    <w:rsid w:val="00243802"/>
    <w:rsid w:val="00261F5A"/>
    <w:rsid w:val="002675DD"/>
    <w:rsid w:val="00276B5C"/>
    <w:rsid w:val="00276F61"/>
    <w:rsid w:val="00283D88"/>
    <w:rsid w:val="00286422"/>
    <w:rsid w:val="002D7A3D"/>
    <w:rsid w:val="002F2203"/>
    <w:rsid w:val="003039D6"/>
    <w:rsid w:val="00367CF4"/>
    <w:rsid w:val="003B2E0E"/>
    <w:rsid w:val="003E1BEC"/>
    <w:rsid w:val="00436063"/>
    <w:rsid w:val="00451A2F"/>
    <w:rsid w:val="004602AF"/>
    <w:rsid w:val="00464021"/>
    <w:rsid w:val="00476A37"/>
    <w:rsid w:val="004B2C3A"/>
    <w:rsid w:val="00527E14"/>
    <w:rsid w:val="0053467B"/>
    <w:rsid w:val="005420BC"/>
    <w:rsid w:val="005A6038"/>
    <w:rsid w:val="005B42C7"/>
    <w:rsid w:val="005B4567"/>
    <w:rsid w:val="005D0387"/>
    <w:rsid w:val="005D2411"/>
    <w:rsid w:val="005D719A"/>
    <w:rsid w:val="00655E07"/>
    <w:rsid w:val="00674602"/>
    <w:rsid w:val="0069025A"/>
    <w:rsid w:val="00781283"/>
    <w:rsid w:val="008032AD"/>
    <w:rsid w:val="0082674A"/>
    <w:rsid w:val="00864F6A"/>
    <w:rsid w:val="00891FB6"/>
    <w:rsid w:val="008D544D"/>
    <w:rsid w:val="008F18A9"/>
    <w:rsid w:val="00934A3F"/>
    <w:rsid w:val="009958D0"/>
    <w:rsid w:val="009E4FED"/>
    <w:rsid w:val="009E7084"/>
    <w:rsid w:val="00A34C99"/>
    <w:rsid w:val="00A376A8"/>
    <w:rsid w:val="00A57649"/>
    <w:rsid w:val="00A6567A"/>
    <w:rsid w:val="00A76D25"/>
    <w:rsid w:val="00AA56C5"/>
    <w:rsid w:val="00AC13D3"/>
    <w:rsid w:val="00B21121"/>
    <w:rsid w:val="00B2265C"/>
    <w:rsid w:val="00BD1E8F"/>
    <w:rsid w:val="00BD61E7"/>
    <w:rsid w:val="00BE2327"/>
    <w:rsid w:val="00BE4BB7"/>
    <w:rsid w:val="00C52105"/>
    <w:rsid w:val="00C66515"/>
    <w:rsid w:val="00C70202"/>
    <w:rsid w:val="00C913B0"/>
    <w:rsid w:val="00CC4C1A"/>
    <w:rsid w:val="00D264E8"/>
    <w:rsid w:val="00D763B0"/>
    <w:rsid w:val="00DB607C"/>
    <w:rsid w:val="00DB6BC4"/>
    <w:rsid w:val="00DF344C"/>
    <w:rsid w:val="00E12EC5"/>
    <w:rsid w:val="00E133E5"/>
    <w:rsid w:val="00E476EE"/>
    <w:rsid w:val="00E51B24"/>
    <w:rsid w:val="00E57550"/>
    <w:rsid w:val="00E907D4"/>
    <w:rsid w:val="00EA57C3"/>
    <w:rsid w:val="00EB20B8"/>
    <w:rsid w:val="00EB5547"/>
    <w:rsid w:val="00EC1003"/>
    <w:rsid w:val="00ED6CC7"/>
    <w:rsid w:val="00ED775B"/>
    <w:rsid w:val="00EF08D6"/>
    <w:rsid w:val="00F62C3C"/>
    <w:rsid w:val="00F91E21"/>
    <w:rsid w:val="00F9725C"/>
    <w:rsid w:val="00FA1F55"/>
    <w:rsid w:val="00FA4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684F3"/>
  <w15:docId w15:val="{B33716FC-417C-447D-84F4-468CE7B3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aragrafoelenco">
    <w:name w:val="List Paragraph"/>
    <w:pPr>
      <w:spacing w:line="24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DidefaultA">
    <w:name w:val="Di default A"/>
    <w:pPr>
      <w:spacing w:line="240" w:lineRule="exact"/>
      <w:jc w:val="both"/>
    </w:pPr>
    <w:rPr>
      <w:rFonts w:ascii="Helvetica Neue" w:hAnsi="Helvetica Neue" w:cs="Arial Unicode MS"/>
      <w:color w:val="000000"/>
      <w:sz w:val="22"/>
      <w:szCs w:val="22"/>
      <w:u w:color="000000"/>
    </w:rPr>
  </w:style>
  <w:style w:type="paragraph" w:customStyle="1" w:styleId="Testo2">
    <w:name w:val="Testo 2"/>
    <w:uiPriority w:val="99"/>
    <w:pPr>
      <w:spacing w:line="220" w:lineRule="exact"/>
      <w:ind w:firstLine="284"/>
      <w:jc w:val="both"/>
    </w:pPr>
    <w:rPr>
      <w:rFonts w:ascii="Times" w:eastAsia="Times" w:hAnsi="Times" w:cs="Times"/>
      <w:color w:val="000000"/>
      <w:sz w:val="18"/>
      <w:szCs w:val="18"/>
      <w:u w:color="000000"/>
    </w:rPr>
  </w:style>
  <w:style w:type="paragraph" w:styleId="Intestazione">
    <w:name w:val="header"/>
    <w:basedOn w:val="Normale"/>
    <w:link w:val="IntestazioneCarattere"/>
    <w:uiPriority w:val="99"/>
    <w:unhideWhenUsed/>
    <w:rsid w:val="00527E1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E14"/>
    <w:rPr>
      <w:rFonts w:cs="Arial Unicode MS"/>
      <w:color w:val="000000"/>
      <w:u w:color="000000"/>
    </w:rPr>
  </w:style>
  <w:style w:type="paragraph" w:styleId="Pidipagina">
    <w:name w:val="footer"/>
    <w:basedOn w:val="Normale"/>
    <w:link w:val="PidipaginaCarattere"/>
    <w:uiPriority w:val="99"/>
    <w:unhideWhenUsed/>
    <w:rsid w:val="00527E1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E14"/>
    <w:rPr>
      <w:rFonts w:cs="Arial Unicode MS"/>
      <w:color w:val="000000"/>
      <w:u w:color="000000"/>
    </w:rPr>
  </w:style>
  <w:style w:type="paragraph" w:styleId="Testofumetto">
    <w:name w:val="Balloon Text"/>
    <w:basedOn w:val="Normale"/>
    <w:link w:val="TestofumettoCarattere"/>
    <w:uiPriority w:val="99"/>
    <w:semiHidden/>
    <w:unhideWhenUsed/>
    <w:rsid w:val="00C7020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0202"/>
    <w:rPr>
      <w:rFonts w:ascii="Segoe UI" w:hAnsi="Segoe UI" w:cs="Segoe UI"/>
      <w:color w:val="000000"/>
      <w:sz w:val="18"/>
      <w:szCs w:val="18"/>
      <w:u w:color="000000"/>
    </w:rPr>
  </w:style>
  <w:style w:type="character" w:styleId="Rimandocommento">
    <w:name w:val="annotation reference"/>
    <w:basedOn w:val="Carpredefinitoparagrafo"/>
    <w:uiPriority w:val="99"/>
    <w:semiHidden/>
    <w:unhideWhenUsed/>
    <w:rsid w:val="00C70202"/>
    <w:rPr>
      <w:sz w:val="16"/>
      <w:szCs w:val="16"/>
    </w:rPr>
  </w:style>
  <w:style w:type="paragraph" w:styleId="Testocommento">
    <w:name w:val="annotation text"/>
    <w:basedOn w:val="Normale"/>
    <w:link w:val="TestocommentoCarattere"/>
    <w:uiPriority w:val="99"/>
    <w:semiHidden/>
    <w:unhideWhenUsed/>
    <w:rsid w:val="00C70202"/>
    <w:pPr>
      <w:spacing w:line="240" w:lineRule="auto"/>
    </w:pPr>
  </w:style>
  <w:style w:type="character" w:customStyle="1" w:styleId="TestocommentoCarattere">
    <w:name w:val="Testo commento Carattere"/>
    <w:basedOn w:val="Carpredefinitoparagrafo"/>
    <w:link w:val="Testocommento"/>
    <w:uiPriority w:val="99"/>
    <w:semiHidden/>
    <w:rsid w:val="00C70202"/>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C70202"/>
    <w:rPr>
      <w:b/>
      <w:bCs/>
    </w:rPr>
  </w:style>
  <w:style w:type="character" w:customStyle="1" w:styleId="SoggettocommentoCarattere">
    <w:name w:val="Soggetto commento Carattere"/>
    <w:basedOn w:val="TestocommentoCarattere"/>
    <w:link w:val="Soggettocommento"/>
    <w:uiPriority w:val="99"/>
    <w:semiHidden/>
    <w:rsid w:val="00C70202"/>
    <w:rPr>
      <w:rFonts w:cs="Arial Unicode MS"/>
      <w:b/>
      <w:bCs/>
      <w:color w:val="000000"/>
      <w:u w:color="000000"/>
    </w:rPr>
  </w:style>
  <w:style w:type="paragraph" w:customStyle="1" w:styleId="xmsonormal">
    <w:name w:val="x_msonormal"/>
    <w:basedOn w:val="Normale"/>
    <w:rsid w:val="00ED77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cs="Times New Roman"/>
      <w:color w:val="auto"/>
      <w:sz w:val="24"/>
      <w:szCs w:val="24"/>
      <w:bdr w:val="none" w:sz="0" w:space="0" w:color="auto"/>
    </w:rPr>
  </w:style>
  <w:style w:type="character" w:styleId="Menzionenonrisolta">
    <w:name w:val="Unresolved Mention"/>
    <w:basedOn w:val="Carpredefinitoparagrafo"/>
    <w:uiPriority w:val="99"/>
    <w:semiHidden/>
    <w:unhideWhenUsed/>
    <w:rsid w:val="00E5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9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web/searchByName.do?language=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Mensi Rossella</cp:lastModifiedBy>
  <cp:revision>3</cp:revision>
  <dcterms:created xsi:type="dcterms:W3CDTF">2023-01-12T14:25:00Z</dcterms:created>
  <dcterms:modified xsi:type="dcterms:W3CDTF">2023-02-01T14:07:00Z</dcterms:modified>
</cp:coreProperties>
</file>