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7858" w14:textId="77777777" w:rsidR="00BE6164" w:rsidRPr="00DA20FE" w:rsidRDefault="00BE6164" w:rsidP="00BE6164">
      <w:pPr>
        <w:spacing w:before="480"/>
        <w:jc w:val="left"/>
        <w:outlineLvl w:val="0"/>
        <w:rPr>
          <w:rFonts w:ascii="Times" w:hAnsi="Times"/>
          <w:b/>
          <w:szCs w:val="20"/>
        </w:rPr>
      </w:pPr>
      <w:r w:rsidRPr="00DA20FE">
        <w:rPr>
          <w:rFonts w:ascii="Times" w:hAnsi="Times"/>
          <w:b/>
          <w:szCs w:val="20"/>
        </w:rPr>
        <w:t>Cultural Anthropology and Ethnology</w:t>
      </w:r>
    </w:p>
    <w:p w14:paraId="21C872E9" w14:textId="7448464E" w:rsidR="00CB238F" w:rsidRPr="00DA20FE" w:rsidRDefault="00CB238F" w:rsidP="00CB238F">
      <w:pPr>
        <w:pStyle w:val="Titolo2"/>
        <w:rPr>
          <w:rFonts w:ascii="Times New Roman" w:hAnsi="Times New Roman"/>
          <w:noProof w:val="0"/>
          <w:szCs w:val="18"/>
        </w:rPr>
      </w:pPr>
      <w:r w:rsidRPr="00DA20FE">
        <w:rPr>
          <w:rFonts w:ascii="Times New Roman" w:hAnsi="Times New Roman"/>
          <w:noProof w:val="0"/>
          <w:szCs w:val="18"/>
        </w:rPr>
        <w:t>Prof</w:t>
      </w:r>
      <w:r w:rsidRPr="00DA20FE">
        <w:rPr>
          <w:rFonts w:ascii="Times New Roman" w:hAnsi="Times New Roman"/>
          <w:smallCaps w:val="0"/>
          <w:noProof w:val="0"/>
          <w:szCs w:val="18"/>
        </w:rPr>
        <w:t>.</w:t>
      </w:r>
      <w:r w:rsidRPr="00DA20FE">
        <w:rPr>
          <w:rFonts w:ascii="Times New Roman" w:hAnsi="Times New Roman"/>
          <w:noProof w:val="0"/>
          <w:szCs w:val="18"/>
        </w:rPr>
        <w:t xml:space="preserve"> Davide Navarria</w:t>
      </w:r>
    </w:p>
    <w:p w14:paraId="5523DE30" w14:textId="77777777" w:rsidR="00DA20FE" w:rsidRDefault="00BE6164" w:rsidP="00BE6164">
      <w:pPr>
        <w:spacing w:before="240" w:after="120"/>
        <w:rPr>
          <w:b/>
          <w:i/>
          <w:sz w:val="18"/>
          <w:szCs w:val="18"/>
        </w:rPr>
      </w:pPr>
      <w:r w:rsidRPr="00DA20FE">
        <w:rPr>
          <w:b/>
          <w:i/>
          <w:sz w:val="18"/>
          <w:szCs w:val="18"/>
        </w:rPr>
        <w:t>Text under revision. Not yet approved by academic staff.</w:t>
      </w:r>
    </w:p>
    <w:p w14:paraId="398F47A6" w14:textId="742F4981" w:rsidR="00BE6164" w:rsidRPr="00DA20FE" w:rsidRDefault="00BE6164" w:rsidP="00BE6164">
      <w:pPr>
        <w:spacing w:before="240" w:after="120"/>
        <w:rPr>
          <w:b/>
          <w:sz w:val="18"/>
          <w:szCs w:val="18"/>
        </w:rPr>
      </w:pPr>
      <w:r w:rsidRPr="00DA20FE">
        <w:rPr>
          <w:b/>
          <w:i/>
          <w:sz w:val="18"/>
          <w:szCs w:val="18"/>
        </w:rPr>
        <w:t>COURSE AIMS AND INTENDED LEARNING OUTCOMES</w:t>
      </w:r>
    </w:p>
    <w:p w14:paraId="0FF8E2C9" w14:textId="36727D84" w:rsidR="00CB238F" w:rsidRPr="00DA20FE" w:rsidRDefault="00CB238F" w:rsidP="00CB238F">
      <w:pPr>
        <w:spacing w:line="240" w:lineRule="exact"/>
        <w:rPr>
          <w:szCs w:val="20"/>
        </w:rPr>
      </w:pPr>
      <w:r w:rsidRPr="00DA20FE">
        <w:t>The course aims to introduce students to studies related to culture and cultures, in other words the complex of concepts and behaviours belonging to humans in societies throughout time. For a comparative approach to both the differences and the underlying similarities in the various ethnological configurations, the course covers the general mechanisms of cultural processes and the ways in which cultures are structured and diversified.</w:t>
      </w:r>
    </w:p>
    <w:p w14:paraId="5A2103F2" w14:textId="4DA55003" w:rsidR="00CB238F" w:rsidRPr="00DA20FE" w:rsidRDefault="00CB238F" w:rsidP="00CB238F">
      <w:pPr>
        <w:spacing w:line="240" w:lineRule="exact"/>
        <w:rPr>
          <w:szCs w:val="20"/>
        </w:rPr>
      </w:pPr>
      <w:r w:rsidRPr="00DA20FE">
        <w:t xml:space="preserve">By the end of the course, students will be familiar with the skills related to the content, methodology and history of research in the field. Moreover, they will be able to understand the present anthropological debate, with particular reference to phenomena such as new media and specific cultural, individual and community dynamics played out in the virtual spaces of the web and in relation to films, television series, video games and similar products. </w:t>
      </w:r>
    </w:p>
    <w:p w14:paraId="5BBE1B6F" w14:textId="77777777" w:rsidR="00BE6164" w:rsidRPr="00DA20FE" w:rsidRDefault="00BE6164" w:rsidP="00BE6164">
      <w:pPr>
        <w:spacing w:before="240" w:after="120"/>
        <w:rPr>
          <w:b/>
          <w:i/>
          <w:sz w:val="18"/>
          <w:szCs w:val="18"/>
        </w:rPr>
      </w:pPr>
      <w:r w:rsidRPr="00DA20FE">
        <w:rPr>
          <w:b/>
          <w:i/>
          <w:sz w:val="18"/>
          <w:szCs w:val="18"/>
        </w:rPr>
        <w:t>COURSE CONTENT</w:t>
      </w:r>
    </w:p>
    <w:p w14:paraId="0D9801FB" w14:textId="77777777" w:rsidR="00785060" w:rsidRPr="007F61EC" w:rsidRDefault="00785060" w:rsidP="00785060">
      <w:pPr>
        <w:spacing w:line="240" w:lineRule="exact"/>
        <w:rPr>
          <w:szCs w:val="20"/>
        </w:rPr>
      </w:pPr>
      <w:r w:rsidRPr="007F61EC">
        <w:rPr>
          <w:szCs w:val="20"/>
        </w:rPr>
        <w:t>The course traces the history of the discipline, focusing on its fundamental elements, and makes constant reference to the development and topicality of the discipline as regards its objectives, methods, theories, themes and perspectives. In particular, it focuses on the following theoretical modules:</w:t>
      </w:r>
    </w:p>
    <w:p w14:paraId="1B90B0A9" w14:textId="77777777" w:rsidR="00785060" w:rsidRPr="007F61EC" w:rsidRDefault="00785060" w:rsidP="00785060">
      <w:pPr>
        <w:spacing w:line="240" w:lineRule="exact"/>
        <w:rPr>
          <w:szCs w:val="20"/>
        </w:rPr>
      </w:pPr>
      <w:r w:rsidRPr="007F61EC">
        <w:rPr>
          <w:szCs w:val="20"/>
        </w:rPr>
        <w:t>1. The lexicon of the discipline</w:t>
      </w:r>
    </w:p>
    <w:p w14:paraId="18D5F8E5" w14:textId="77777777" w:rsidR="00785060" w:rsidRPr="007F61EC" w:rsidRDefault="00785060" w:rsidP="00785060">
      <w:pPr>
        <w:spacing w:line="240" w:lineRule="exact"/>
        <w:rPr>
          <w:szCs w:val="20"/>
        </w:rPr>
      </w:pPr>
      <w:r w:rsidRPr="007F61EC">
        <w:rPr>
          <w:szCs w:val="20"/>
        </w:rPr>
        <w:t>2. Characteristics of anthropological reasoning</w:t>
      </w:r>
    </w:p>
    <w:p w14:paraId="63BA3731" w14:textId="77777777" w:rsidR="00785060" w:rsidRPr="007F61EC" w:rsidRDefault="00785060" w:rsidP="00785060">
      <w:pPr>
        <w:spacing w:line="240" w:lineRule="exact"/>
        <w:rPr>
          <w:szCs w:val="20"/>
        </w:rPr>
      </w:pPr>
      <w:r w:rsidRPr="007F61EC">
        <w:rPr>
          <w:szCs w:val="20"/>
        </w:rPr>
        <w:t>3. Anthropological research methods</w:t>
      </w:r>
    </w:p>
    <w:p w14:paraId="79E43002" w14:textId="77777777" w:rsidR="00785060" w:rsidRPr="007F61EC" w:rsidRDefault="00785060" w:rsidP="00785060">
      <w:pPr>
        <w:spacing w:line="240" w:lineRule="exact"/>
        <w:rPr>
          <w:szCs w:val="20"/>
        </w:rPr>
      </w:pPr>
      <w:r w:rsidRPr="007F61EC">
        <w:rPr>
          <w:szCs w:val="20"/>
        </w:rPr>
        <w:t>4. The nature/culture duality</w:t>
      </w:r>
    </w:p>
    <w:p w14:paraId="4212BB6E" w14:textId="77777777" w:rsidR="00785060" w:rsidRPr="007F61EC" w:rsidRDefault="00785060" w:rsidP="00785060">
      <w:pPr>
        <w:spacing w:line="240" w:lineRule="exact"/>
        <w:rPr>
          <w:szCs w:val="20"/>
        </w:rPr>
      </w:pPr>
      <w:r w:rsidRPr="007F61EC">
        <w:rPr>
          <w:szCs w:val="20"/>
        </w:rPr>
        <w:t>5. The unity and variety of the human race (races, ethnicities, etc.)</w:t>
      </w:r>
    </w:p>
    <w:p w14:paraId="63AD4ACB" w14:textId="77777777" w:rsidR="00785060" w:rsidRPr="007F61EC" w:rsidRDefault="00785060" w:rsidP="00785060">
      <w:pPr>
        <w:spacing w:line="240" w:lineRule="exact"/>
        <w:rPr>
          <w:szCs w:val="20"/>
        </w:rPr>
      </w:pPr>
      <w:r w:rsidRPr="007F61EC">
        <w:rPr>
          <w:szCs w:val="20"/>
        </w:rPr>
        <w:t xml:space="preserve">6. Historical forms of adaptation by </w:t>
      </w:r>
      <w:r w:rsidRPr="007F61EC">
        <w:rPr>
          <w:i/>
          <w:iCs/>
          <w:szCs w:val="20"/>
        </w:rPr>
        <w:t>sapiens</w:t>
      </w:r>
    </w:p>
    <w:p w14:paraId="0A1B33CD" w14:textId="77777777" w:rsidR="00785060" w:rsidRPr="007F61EC" w:rsidRDefault="00785060" w:rsidP="00785060">
      <w:pPr>
        <w:spacing w:line="240" w:lineRule="exact"/>
        <w:rPr>
          <w:szCs w:val="20"/>
        </w:rPr>
      </w:pPr>
      <w:r w:rsidRPr="007F61EC">
        <w:rPr>
          <w:szCs w:val="20"/>
        </w:rPr>
        <w:t>7. Identity and otherness. Systems of body, sexuality, gender and emotion</w:t>
      </w:r>
    </w:p>
    <w:p w14:paraId="509F0215" w14:textId="77777777" w:rsidR="00785060" w:rsidRPr="007F61EC" w:rsidRDefault="00785060" w:rsidP="00785060">
      <w:pPr>
        <w:spacing w:line="240" w:lineRule="exact"/>
        <w:rPr>
          <w:szCs w:val="20"/>
        </w:rPr>
      </w:pPr>
      <w:r w:rsidRPr="007F61EC">
        <w:rPr>
          <w:szCs w:val="20"/>
        </w:rPr>
        <w:t>8. Health and disease. Medical anthropology</w:t>
      </w:r>
    </w:p>
    <w:p w14:paraId="7F1FCBD2" w14:textId="77777777" w:rsidR="00785060" w:rsidRPr="007F61EC" w:rsidRDefault="00785060" w:rsidP="00785060">
      <w:pPr>
        <w:spacing w:line="240" w:lineRule="exact"/>
        <w:rPr>
          <w:szCs w:val="20"/>
        </w:rPr>
      </w:pPr>
      <w:r w:rsidRPr="007F61EC">
        <w:rPr>
          <w:szCs w:val="20"/>
        </w:rPr>
        <w:t>9. Forms of kinship. Exogamy, endogamy, lineage and consanguinity</w:t>
      </w:r>
    </w:p>
    <w:p w14:paraId="01DB4296" w14:textId="39DF0563" w:rsidR="00785060" w:rsidRPr="007F61EC" w:rsidRDefault="00785060" w:rsidP="00785060">
      <w:pPr>
        <w:spacing w:line="240" w:lineRule="exact"/>
        <w:rPr>
          <w:szCs w:val="20"/>
        </w:rPr>
      </w:pPr>
      <w:r w:rsidRPr="007F61EC">
        <w:rPr>
          <w:szCs w:val="20"/>
        </w:rPr>
        <w:t>10. Communication and knowledge. Closed and open systems of thought</w:t>
      </w:r>
    </w:p>
    <w:p w14:paraId="53961B61" w14:textId="77777777" w:rsidR="00785060" w:rsidRPr="007F61EC" w:rsidRDefault="00785060" w:rsidP="00785060">
      <w:pPr>
        <w:spacing w:line="240" w:lineRule="exact"/>
        <w:rPr>
          <w:szCs w:val="20"/>
        </w:rPr>
      </w:pPr>
      <w:r w:rsidRPr="007F61EC">
        <w:rPr>
          <w:szCs w:val="20"/>
        </w:rPr>
        <w:t>11. Space and time</w:t>
      </w:r>
    </w:p>
    <w:p w14:paraId="40A53C7F" w14:textId="77777777" w:rsidR="00785060" w:rsidRPr="007F61EC" w:rsidRDefault="00785060" w:rsidP="00785060">
      <w:pPr>
        <w:spacing w:line="240" w:lineRule="exact"/>
        <w:rPr>
          <w:szCs w:val="20"/>
        </w:rPr>
      </w:pPr>
      <w:r w:rsidRPr="007F61EC">
        <w:rPr>
          <w:szCs w:val="20"/>
        </w:rPr>
        <w:t>12. Magical thinking</w:t>
      </w:r>
    </w:p>
    <w:p w14:paraId="1E0E9FF7" w14:textId="77777777" w:rsidR="00785060" w:rsidRPr="007F61EC" w:rsidRDefault="00785060" w:rsidP="00785060">
      <w:pPr>
        <w:spacing w:line="240" w:lineRule="exact"/>
        <w:rPr>
          <w:szCs w:val="20"/>
        </w:rPr>
      </w:pPr>
      <w:r w:rsidRPr="007F61EC">
        <w:rPr>
          <w:szCs w:val="20"/>
        </w:rPr>
        <w:t>13. The religious phenomenon and its metamorphosis in today's context</w:t>
      </w:r>
    </w:p>
    <w:p w14:paraId="321B99AD" w14:textId="77777777" w:rsidR="00785060" w:rsidRPr="007F61EC" w:rsidRDefault="00785060" w:rsidP="00785060">
      <w:pPr>
        <w:spacing w:line="240" w:lineRule="exact"/>
        <w:rPr>
          <w:szCs w:val="20"/>
        </w:rPr>
      </w:pPr>
      <w:r w:rsidRPr="007F61EC">
        <w:rPr>
          <w:szCs w:val="20"/>
        </w:rPr>
        <w:t>14. Rituality and rituals (rites of passage, initiations, puberty, funerals).</w:t>
      </w:r>
    </w:p>
    <w:p w14:paraId="67E35E9B" w14:textId="77777777" w:rsidR="00785060" w:rsidRPr="007F61EC" w:rsidRDefault="00785060" w:rsidP="00785060">
      <w:pPr>
        <w:spacing w:line="240" w:lineRule="exact"/>
        <w:rPr>
          <w:szCs w:val="20"/>
        </w:rPr>
      </w:pPr>
      <w:r w:rsidRPr="007F61EC">
        <w:rPr>
          <w:szCs w:val="20"/>
        </w:rPr>
        <w:lastRenderedPageBreak/>
        <w:t>15. Cultural creativity and aesthetic expression: celebration, play, art.</w:t>
      </w:r>
    </w:p>
    <w:p w14:paraId="18B15B91" w14:textId="77777777" w:rsidR="00785060" w:rsidRPr="007F61EC" w:rsidRDefault="00785060" w:rsidP="00785060">
      <w:pPr>
        <w:spacing w:line="240" w:lineRule="exact"/>
        <w:rPr>
          <w:szCs w:val="20"/>
        </w:rPr>
      </w:pPr>
      <w:r w:rsidRPr="007F61EC">
        <w:rPr>
          <w:szCs w:val="20"/>
        </w:rPr>
        <w:t>16. The administration of power and the distribution of resources</w:t>
      </w:r>
    </w:p>
    <w:p w14:paraId="67129BCC" w14:textId="77777777" w:rsidR="00785060" w:rsidRPr="007F61EC" w:rsidRDefault="00785060" w:rsidP="00785060">
      <w:pPr>
        <w:spacing w:line="240" w:lineRule="exact"/>
        <w:rPr>
          <w:szCs w:val="20"/>
        </w:rPr>
      </w:pPr>
      <w:r w:rsidRPr="007F61EC">
        <w:rPr>
          <w:szCs w:val="20"/>
        </w:rPr>
        <w:t xml:space="preserve">17. The human dwelling </w:t>
      </w:r>
    </w:p>
    <w:p w14:paraId="4FEFBDF2" w14:textId="77777777" w:rsidR="00785060" w:rsidRPr="007F61EC" w:rsidRDefault="00785060" w:rsidP="00785060">
      <w:pPr>
        <w:spacing w:line="240" w:lineRule="exact"/>
        <w:rPr>
          <w:szCs w:val="20"/>
        </w:rPr>
      </w:pPr>
      <w:r w:rsidRPr="007F61EC">
        <w:rPr>
          <w:szCs w:val="20"/>
        </w:rPr>
        <w:t>18. Globalisation dynamics and current perspectives of the discipline</w:t>
      </w:r>
    </w:p>
    <w:p w14:paraId="3B56C8C7" w14:textId="77777777" w:rsidR="00785060" w:rsidRPr="007F61EC" w:rsidRDefault="00785060" w:rsidP="00785060">
      <w:pPr>
        <w:spacing w:line="240" w:lineRule="exact"/>
        <w:rPr>
          <w:szCs w:val="20"/>
        </w:rPr>
      </w:pPr>
      <w:r w:rsidRPr="007F61EC">
        <w:rPr>
          <w:szCs w:val="20"/>
        </w:rPr>
        <w:t>19. Anthropology and new media</w:t>
      </w:r>
    </w:p>
    <w:p w14:paraId="444931E8" w14:textId="366CA40F" w:rsidR="00CB238F" w:rsidRPr="007F61EC" w:rsidRDefault="00BE6164" w:rsidP="00CB238F">
      <w:pPr>
        <w:keepNext/>
        <w:spacing w:before="240" w:after="120" w:line="240" w:lineRule="exact"/>
        <w:rPr>
          <w:b/>
          <w:sz w:val="18"/>
          <w:szCs w:val="18"/>
        </w:rPr>
      </w:pPr>
      <w:r w:rsidRPr="007F61EC">
        <w:rPr>
          <w:b/>
          <w:i/>
          <w:sz w:val="18"/>
          <w:szCs w:val="18"/>
        </w:rPr>
        <w:t>READING LIST</w:t>
      </w:r>
    </w:p>
    <w:p w14:paraId="08708329" w14:textId="77777777" w:rsidR="00785060" w:rsidRPr="007F61EC" w:rsidRDefault="00785060" w:rsidP="00785060">
      <w:pPr>
        <w:pStyle w:val="Testo1"/>
        <w:numPr>
          <w:ilvl w:val="0"/>
          <w:numId w:val="1"/>
        </w:numPr>
        <w:spacing w:before="0" w:line="240" w:lineRule="exact"/>
        <w:ind w:left="425" w:hanging="357"/>
        <w:rPr>
          <w:rFonts w:ascii="Times New Roman" w:hAnsi="Times New Roman"/>
          <w:iCs/>
          <w:noProof w:val="0"/>
          <w:spacing w:val="-5"/>
          <w:szCs w:val="18"/>
          <w:lang w:val="it-IT"/>
        </w:rPr>
      </w:pPr>
      <w:r w:rsidRPr="007F61EC">
        <w:rPr>
          <w:rFonts w:ascii="Times New Roman" w:hAnsi="Times New Roman"/>
          <w:smallCaps/>
          <w:noProof w:val="0"/>
          <w:sz w:val="16"/>
          <w:szCs w:val="16"/>
          <w:lang w:val="it-IT"/>
        </w:rPr>
        <w:t>U. Fabietti</w:t>
      </w:r>
      <w:r w:rsidRPr="007F61EC">
        <w:rPr>
          <w:rFonts w:ascii="Times New Roman" w:hAnsi="Times New Roman"/>
          <w:noProof w:val="0"/>
          <w:szCs w:val="18"/>
          <w:lang w:val="it-IT"/>
        </w:rPr>
        <w:t xml:space="preserve">, </w:t>
      </w:r>
      <w:r w:rsidRPr="007F61EC">
        <w:rPr>
          <w:rFonts w:ascii="Times New Roman" w:hAnsi="Times New Roman"/>
          <w:i/>
          <w:noProof w:val="0"/>
          <w:szCs w:val="18"/>
          <w:lang w:val="it-IT"/>
        </w:rPr>
        <w:t>Elementi di antropologia culturale</w:t>
      </w:r>
      <w:r w:rsidRPr="007F61EC">
        <w:rPr>
          <w:rFonts w:ascii="Times New Roman" w:hAnsi="Times New Roman"/>
          <w:iCs/>
          <w:noProof w:val="0"/>
          <w:szCs w:val="18"/>
          <w:lang w:val="it-IT"/>
        </w:rPr>
        <w:t xml:space="preserve">, Mondadori, Milano 2020. </w:t>
      </w:r>
    </w:p>
    <w:p w14:paraId="5F646D58" w14:textId="77777777" w:rsidR="00785060" w:rsidRPr="007F61EC" w:rsidRDefault="00785060" w:rsidP="00785060">
      <w:pPr>
        <w:pStyle w:val="Testo1"/>
        <w:numPr>
          <w:ilvl w:val="0"/>
          <w:numId w:val="1"/>
        </w:numPr>
        <w:spacing w:before="0" w:line="240" w:lineRule="exact"/>
        <w:ind w:left="425" w:hanging="357"/>
        <w:rPr>
          <w:rFonts w:ascii="Times New Roman" w:hAnsi="Times New Roman"/>
          <w:noProof w:val="0"/>
          <w:spacing w:val="-5"/>
          <w:szCs w:val="18"/>
        </w:rPr>
      </w:pPr>
      <w:r w:rsidRPr="007F61EC">
        <w:rPr>
          <w:rFonts w:ascii="Times New Roman" w:hAnsi="Times New Roman"/>
          <w:noProof w:val="0"/>
          <w:szCs w:val="18"/>
        </w:rPr>
        <w:t>One of the following texts (others will be recommended and or potentially agreed upon during the course):</w:t>
      </w:r>
    </w:p>
    <w:p w14:paraId="2AC3C4AD" w14:textId="77777777" w:rsidR="00785060" w:rsidRPr="00DA20FE" w:rsidRDefault="00785060" w:rsidP="00785060">
      <w:pPr>
        <w:pStyle w:val="Testo1"/>
        <w:spacing w:before="0" w:line="240" w:lineRule="atLeast"/>
        <w:ind w:left="0" w:firstLine="0"/>
        <w:rPr>
          <w:rFonts w:ascii="Times New Roman" w:hAnsi="Times New Roman"/>
          <w:noProof w:val="0"/>
          <w:spacing w:val="-5"/>
          <w:szCs w:val="18"/>
        </w:rPr>
      </w:pPr>
    </w:p>
    <w:p w14:paraId="335CF66B"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S. Petrosino</w:t>
      </w:r>
      <w:r w:rsidRPr="007F61EC">
        <w:rPr>
          <w:rFonts w:ascii="Times New Roman" w:hAnsi="Times New Roman"/>
          <w:noProof w:val="0"/>
          <w:szCs w:val="18"/>
          <w:lang w:val="it-IT"/>
        </w:rPr>
        <w:t xml:space="preserve">, (a cura di) </w:t>
      </w:r>
      <w:r w:rsidRPr="007F61EC">
        <w:rPr>
          <w:rFonts w:ascii="Times New Roman" w:hAnsi="Times New Roman"/>
          <w:i/>
          <w:iCs/>
          <w:noProof w:val="0"/>
          <w:szCs w:val="18"/>
          <w:lang w:val="it-IT"/>
        </w:rPr>
        <w:t>Il mito. Senso, natura, attualità</w:t>
      </w:r>
      <w:r w:rsidRPr="007F61EC">
        <w:rPr>
          <w:rFonts w:ascii="Times New Roman" w:hAnsi="Times New Roman"/>
          <w:noProof w:val="0"/>
          <w:szCs w:val="18"/>
          <w:lang w:val="it-IT"/>
        </w:rPr>
        <w:t xml:space="preserve">, Jaca Book, Milano 2016. </w:t>
      </w:r>
    </w:p>
    <w:p w14:paraId="10662AFC"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S.</w:t>
      </w:r>
      <w:r w:rsidRPr="007F61EC">
        <w:rPr>
          <w:rFonts w:ascii="Times New Roman" w:hAnsi="Times New Roman"/>
          <w:noProof w:val="0"/>
          <w:sz w:val="16"/>
          <w:szCs w:val="16"/>
          <w:lang w:val="it-IT"/>
        </w:rPr>
        <w:t xml:space="preserve"> </w:t>
      </w:r>
      <w:r w:rsidRPr="007F61EC">
        <w:rPr>
          <w:rFonts w:ascii="Times New Roman" w:hAnsi="Times New Roman"/>
          <w:smallCaps/>
          <w:noProof w:val="0"/>
          <w:sz w:val="16"/>
          <w:szCs w:val="16"/>
          <w:lang w:val="it-IT"/>
        </w:rPr>
        <w:t>Patriarca</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Il digitale quotidiano. Così si trasforma l’essere umano</w:t>
      </w:r>
      <w:r w:rsidRPr="007F61EC">
        <w:rPr>
          <w:rFonts w:ascii="Times New Roman" w:hAnsi="Times New Roman"/>
          <w:noProof w:val="0"/>
          <w:szCs w:val="18"/>
          <w:lang w:val="it-IT"/>
        </w:rPr>
        <w:t xml:space="preserve">, Castelvecchi, Roma 2018. </w:t>
      </w:r>
    </w:p>
    <w:p w14:paraId="3A8BBD4B"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G. Pietropolli Charmet</w:t>
      </w:r>
      <w:r w:rsidRPr="007F61EC">
        <w:rPr>
          <w:rFonts w:ascii="Times New Roman" w:hAnsi="Times New Roman"/>
          <w:smallCaps/>
          <w:noProof w:val="0"/>
          <w:szCs w:val="18"/>
          <w:lang w:val="it-IT"/>
        </w:rPr>
        <w:t>, M. Aime</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La fatica di diventare grandi. La scomparsa dei riti di passaggio</w:t>
      </w:r>
      <w:r w:rsidRPr="007F61EC">
        <w:rPr>
          <w:rFonts w:ascii="Times New Roman" w:hAnsi="Times New Roman"/>
          <w:noProof w:val="0"/>
          <w:szCs w:val="18"/>
          <w:lang w:val="it-IT"/>
        </w:rPr>
        <w:t xml:space="preserve">, Einaudi, Torino 2014. </w:t>
      </w:r>
    </w:p>
    <w:p w14:paraId="1DE9C57B"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M. Canevacci</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La città polifonica. Saggio sull’antropologia della comunicazione urbana</w:t>
      </w:r>
      <w:r w:rsidRPr="007F61EC">
        <w:rPr>
          <w:rFonts w:ascii="Times New Roman" w:hAnsi="Times New Roman"/>
          <w:noProof w:val="0"/>
          <w:szCs w:val="18"/>
          <w:lang w:val="it-IT"/>
        </w:rPr>
        <w:t>, Rogas, Roma 2018.</w:t>
      </w:r>
    </w:p>
    <w:p w14:paraId="2C49D45B"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M. Eliade</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Il sacro e il profano</w:t>
      </w:r>
      <w:r w:rsidRPr="007F61EC">
        <w:rPr>
          <w:rFonts w:ascii="Times New Roman" w:hAnsi="Times New Roman"/>
          <w:noProof w:val="0"/>
          <w:szCs w:val="18"/>
          <w:lang w:val="it-IT"/>
        </w:rPr>
        <w:t xml:space="preserve">, Bollati Boringhieri, Torino 2006. </w:t>
      </w:r>
    </w:p>
    <w:p w14:paraId="27646447"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F. Remotti</w:t>
      </w:r>
      <w:r w:rsidRPr="007F61EC">
        <w:rPr>
          <w:rFonts w:ascii="Times New Roman" w:hAnsi="Times New Roman"/>
          <w:smallCaps/>
          <w:noProof w:val="0"/>
          <w:szCs w:val="18"/>
          <w:lang w:val="it-IT"/>
        </w:rPr>
        <w:t xml:space="preserve">,  </w:t>
      </w:r>
      <w:r w:rsidRPr="007F61EC">
        <w:rPr>
          <w:rFonts w:ascii="Times New Roman" w:hAnsi="Times New Roman"/>
          <w:i/>
          <w:iCs/>
          <w:noProof w:val="0"/>
          <w:szCs w:val="18"/>
          <w:lang w:val="it-IT"/>
        </w:rPr>
        <w:t xml:space="preserve">Sull’identità, </w:t>
      </w:r>
      <w:r w:rsidRPr="007F61EC">
        <w:rPr>
          <w:rFonts w:ascii="Times New Roman" w:hAnsi="Times New Roman"/>
          <w:noProof w:val="0"/>
          <w:szCs w:val="18"/>
          <w:lang w:val="it-IT"/>
        </w:rPr>
        <w:t>Raffaello Cortina Editore, Milano 2021</w:t>
      </w:r>
      <w:r w:rsidRPr="007F61EC">
        <w:rPr>
          <w:rFonts w:ascii="Times New Roman" w:hAnsi="Times New Roman"/>
          <w:i/>
          <w:iCs/>
          <w:noProof w:val="0"/>
          <w:szCs w:val="18"/>
          <w:lang w:val="it-IT"/>
        </w:rPr>
        <w:t>.</w:t>
      </w:r>
    </w:p>
    <w:p w14:paraId="5167BAA1"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B. Malinowski</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Argonauti del Pacifico occidentale. Riti magici e vita quotidiana nella società primitiva</w:t>
      </w:r>
      <w:r w:rsidRPr="007F61EC">
        <w:rPr>
          <w:rFonts w:ascii="Times New Roman" w:hAnsi="Times New Roman"/>
          <w:noProof w:val="0"/>
          <w:szCs w:val="18"/>
          <w:lang w:val="it-IT"/>
        </w:rPr>
        <w:t xml:space="preserve">, Bollati Boringhieri, Torino 2011. </w:t>
      </w:r>
    </w:p>
    <w:p w14:paraId="136F8D3B"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A. Appadurai</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Modernità in polvere</w:t>
      </w:r>
      <w:r w:rsidRPr="007F61EC">
        <w:rPr>
          <w:rFonts w:ascii="Times New Roman" w:hAnsi="Times New Roman"/>
          <w:noProof w:val="0"/>
          <w:szCs w:val="18"/>
          <w:lang w:val="it-IT"/>
        </w:rPr>
        <w:t>, Raffaello Cortina Editore, Milano 2012.</w:t>
      </w:r>
    </w:p>
    <w:p w14:paraId="3989C2A3"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AA..VV</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Le case dell’uomo. Abitare il mondo</w:t>
      </w:r>
      <w:r w:rsidRPr="007F61EC">
        <w:rPr>
          <w:rFonts w:ascii="Times New Roman" w:hAnsi="Times New Roman"/>
          <w:noProof w:val="0"/>
          <w:szCs w:val="18"/>
          <w:lang w:val="it-IT"/>
        </w:rPr>
        <w:t>, Utet, Roma 2016.</w:t>
      </w:r>
    </w:p>
    <w:p w14:paraId="74FCB583"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noProof w:val="0"/>
          <w:sz w:val="16"/>
          <w:szCs w:val="16"/>
          <w:lang w:val="it-IT"/>
        </w:rPr>
        <w:t>AA.VV</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L’umanità in gioco</w:t>
      </w:r>
      <w:r w:rsidRPr="007F61EC">
        <w:rPr>
          <w:rFonts w:ascii="Times New Roman" w:hAnsi="Times New Roman"/>
          <w:noProof w:val="0"/>
          <w:szCs w:val="18"/>
          <w:lang w:val="it-IT"/>
        </w:rPr>
        <w:t>, Utet, Roma 2017.</w:t>
      </w:r>
    </w:p>
    <w:p w14:paraId="1DCC5BAD"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M. Aime</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Il primo libro di antropologia</w:t>
      </w:r>
      <w:r w:rsidRPr="007F61EC">
        <w:rPr>
          <w:rFonts w:ascii="Times New Roman" w:hAnsi="Times New Roman"/>
          <w:noProof w:val="0"/>
          <w:szCs w:val="18"/>
          <w:lang w:val="it-IT"/>
        </w:rPr>
        <w:t>, Einaudi, Torino 2008.</w:t>
      </w:r>
    </w:p>
    <w:p w14:paraId="43E5C3B4"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M. Foucault</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Sorvegliare e punire. Nascita della prigione</w:t>
      </w:r>
      <w:r w:rsidRPr="007F61EC">
        <w:rPr>
          <w:rFonts w:ascii="Times New Roman" w:hAnsi="Times New Roman"/>
          <w:noProof w:val="0"/>
          <w:szCs w:val="18"/>
          <w:lang w:val="it-IT"/>
        </w:rPr>
        <w:t>, Einaudi, Torino 2014.</w:t>
      </w:r>
    </w:p>
    <w:p w14:paraId="6091B1A5"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V. Matera</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La scrittura etnografica. Esperienza e rappresentazione nella produzione di conoscenze antropologiche</w:t>
      </w:r>
      <w:r w:rsidRPr="007F61EC">
        <w:rPr>
          <w:rFonts w:ascii="Times New Roman" w:hAnsi="Times New Roman"/>
          <w:noProof w:val="0"/>
          <w:szCs w:val="18"/>
          <w:lang w:val="it-IT"/>
        </w:rPr>
        <w:t>, Elèuthera, Manocalzati 2017.</w:t>
      </w:r>
    </w:p>
    <w:p w14:paraId="5058FE4D"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M. Granet, M. Mauss</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Il linguaggio dei sentimenti</w:t>
      </w:r>
      <w:r w:rsidRPr="007F61EC">
        <w:rPr>
          <w:rFonts w:ascii="Times New Roman" w:hAnsi="Times New Roman"/>
          <w:noProof w:val="0"/>
          <w:szCs w:val="18"/>
          <w:lang w:val="it-IT"/>
        </w:rPr>
        <w:t>, Adelphi, Torino 2021.</w:t>
      </w:r>
    </w:p>
    <w:p w14:paraId="0120B761"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M. Mauss</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Saggio sul dono. Forma e motivo dello scambio nelle società arcaiche</w:t>
      </w:r>
      <w:r w:rsidRPr="007F61EC">
        <w:rPr>
          <w:rFonts w:ascii="Times New Roman" w:hAnsi="Times New Roman"/>
          <w:noProof w:val="0"/>
          <w:szCs w:val="18"/>
          <w:lang w:val="it-IT"/>
        </w:rPr>
        <w:t>, Einaudi, Torino 2021.</w:t>
      </w:r>
    </w:p>
    <w:p w14:paraId="5F27AAD3"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M. Mauss</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Teoria generale della magia</w:t>
      </w:r>
      <w:r w:rsidRPr="007F61EC">
        <w:rPr>
          <w:rFonts w:ascii="Times New Roman" w:hAnsi="Times New Roman"/>
          <w:noProof w:val="0"/>
          <w:szCs w:val="18"/>
          <w:lang w:val="it-IT"/>
        </w:rPr>
        <w:t>, Einaudi, Torino 2000.</w:t>
      </w:r>
    </w:p>
    <w:p w14:paraId="0FD14F67"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V. Turner</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Dal rito al teatro</w:t>
      </w:r>
      <w:r w:rsidRPr="007F61EC">
        <w:rPr>
          <w:rFonts w:ascii="Times New Roman" w:hAnsi="Times New Roman"/>
          <w:noProof w:val="0"/>
          <w:szCs w:val="18"/>
          <w:lang w:val="it-IT"/>
        </w:rPr>
        <w:t>, Il Mulino, Lavis 2021.</w:t>
      </w:r>
    </w:p>
    <w:p w14:paraId="6BDFCCD3"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A. van Gennep</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I riti di passaggio</w:t>
      </w:r>
      <w:r w:rsidRPr="007F61EC">
        <w:rPr>
          <w:rFonts w:ascii="Times New Roman" w:hAnsi="Times New Roman"/>
          <w:noProof w:val="0"/>
          <w:szCs w:val="18"/>
          <w:lang w:val="it-IT"/>
        </w:rPr>
        <w:t>, Bollati Boringhieri, Torino 2020.</w:t>
      </w:r>
    </w:p>
    <w:p w14:paraId="03C1B384"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C. Lévi-Strauss</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Antropologia strutturale</w:t>
      </w:r>
      <w:r w:rsidRPr="007F61EC">
        <w:rPr>
          <w:rFonts w:ascii="Times New Roman" w:hAnsi="Times New Roman"/>
          <w:noProof w:val="0"/>
          <w:szCs w:val="18"/>
          <w:lang w:val="it-IT"/>
        </w:rPr>
        <w:t>, Il Saggiatore, Milano 2015.</w:t>
      </w:r>
    </w:p>
    <w:p w14:paraId="391081FB"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C. Geertz</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Interpretazione di culture</w:t>
      </w:r>
      <w:r w:rsidRPr="007F61EC">
        <w:rPr>
          <w:rFonts w:ascii="Times New Roman" w:hAnsi="Times New Roman"/>
          <w:noProof w:val="0"/>
          <w:szCs w:val="18"/>
          <w:lang w:val="it-IT"/>
        </w:rPr>
        <w:t xml:space="preserve">, Il Mulino, Bologna 2019. </w:t>
      </w:r>
    </w:p>
    <w:p w14:paraId="49574869" w14:textId="77777777" w:rsidR="00785060" w:rsidRPr="007F61EC" w:rsidRDefault="00785060" w:rsidP="00785060">
      <w:pPr>
        <w:pStyle w:val="Testo1"/>
        <w:spacing w:before="0" w:line="240" w:lineRule="exact"/>
        <w:ind w:left="425" w:firstLine="0"/>
        <w:rPr>
          <w:rFonts w:ascii="Times New Roman" w:hAnsi="Times New Roman"/>
          <w:noProof w:val="0"/>
          <w:spacing w:val="-5"/>
          <w:szCs w:val="18"/>
          <w:lang w:val="it-IT"/>
        </w:rPr>
      </w:pPr>
      <w:r w:rsidRPr="007F61EC">
        <w:rPr>
          <w:rFonts w:ascii="Times New Roman" w:hAnsi="Times New Roman"/>
          <w:smallCaps/>
          <w:noProof w:val="0"/>
          <w:sz w:val="16"/>
          <w:szCs w:val="16"/>
          <w:lang w:val="it-IT"/>
        </w:rPr>
        <w:t>A. Biscaldi, V. Matera</w:t>
      </w:r>
      <w:r w:rsidRPr="007F61EC">
        <w:rPr>
          <w:rFonts w:ascii="Times New Roman" w:hAnsi="Times New Roman"/>
          <w:noProof w:val="0"/>
          <w:szCs w:val="18"/>
          <w:lang w:val="it-IT"/>
        </w:rPr>
        <w:t xml:space="preserve">, </w:t>
      </w:r>
      <w:r w:rsidRPr="007F61EC">
        <w:rPr>
          <w:rFonts w:ascii="Times New Roman" w:hAnsi="Times New Roman"/>
          <w:i/>
          <w:iCs/>
          <w:noProof w:val="0"/>
          <w:szCs w:val="18"/>
          <w:lang w:val="it-IT"/>
        </w:rPr>
        <w:t>Antropologia della comunicazione. Interazioni, linguaggi, narrazioni</w:t>
      </w:r>
      <w:r w:rsidRPr="007F61EC">
        <w:rPr>
          <w:rFonts w:ascii="Times New Roman" w:hAnsi="Times New Roman"/>
          <w:noProof w:val="0"/>
          <w:szCs w:val="18"/>
          <w:lang w:val="it-IT"/>
        </w:rPr>
        <w:t>, Carocci, Roma 2017.</w:t>
      </w:r>
    </w:p>
    <w:p w14:paraId="72C2AFB3" w14:textId="4B343BED" w:rsidR="00CB238F" w:rsidRPr="00DA20FE" w:rsidRDefault="00BE6164" w:rsidP="00CB238F">
      <w:pPr>
        <w:spacing w:before="240" w:after="120"/>
        <w:rPr>
          <w:b/>
          <w:i/>
          <w:sz w:val="18"/>
          <w:szCs w:val="18"/>
        </w:rPr>
      </w:pPr>
      <w:r w:rsidRPr="00DA20FE">
        <w:rPr>
          <w:b/>
          <w:i/>
          <w:sz w:val="18"/>
          <w:szCs w:val="18"/>
        </w:rPr>
        <w:lastRenderedPageBreak/>
        <w:t>TEACHING METHOD</w:t>
      </w:r>
    </w:p>
    <w:p w14:paraId="31DB4B1B" w14:textId="77777777" w:rsidR="00CB238F" w:rsidRPr="00DA20FE" w:rsidRDefault="00CB238F" w:rsidP="00CB238F">
      <w:pPr>
        <w:pStyle w:val="Testo2"/>
        <w:rPr>
          <w:rFonts w:ascii="Times New Roman" w:hAnsi="Times New Roman"/>
          <w:noProof w:val="0"/>
          <w:szCs w:val="18"/>
        </w:rPr>
      </w:pPr>
      <w:r w:rsidRPr="00DA20FE">
        <w:rPr>
          <w:rFonts w:ascii="Times New Roman" w:hAnsi="Times New Roman"/>
          <w:noProof w:val="0"/>
          <w:szCs w:val="18"/>
        </w:rPr>
        <w:t>Classroom lectures (with the support of multimedia devices and materials).</w:t>
      </w:r>
    </w:p>
    <w:p w14:paraId="44DD25FF" w14:textId="77777777" w:rsidR="00CB238F" w:rsidRPr="00DA20FE" w:rsidRDefault="00CB238F" w:rsidP="00CB238F">
      <w:pPr>
        <w:pStyle w:val="Testo2"/>
        <w:rPr>
          <w:rFonts w:ascii="Times New Roman" w:hAnsi="Times New Roman"/>
          <w:noProof w:val="0"/>
          <w:szCs w:val="18"/>
        </w:rPr>
      </w:pPr>
      <w:r w:rsidRPr="00DA20FE">
        <w:rPr>
          <w:rFonts w:ascii="Times New Roman" w:hAnsi="Times New Roman"/>
          <w:noProof w:val="0"/>
          <w:szCs w:val="18"/>
        </w:rPr>
        <w:t xml:space="preserve">Discussions. </w:t>
      </w:r>
    </w:p>
    <w:p w14:paraId="6CD884A0" w14:textId="77777777" w:rsidR="00BE6164" w:rsidRPr="00DA20FE" w:rsidRDefault="00BE6164" w:rsidP="00BE6164">
      <w:pPr>
        <w:spacing w:before="240" w:after="120"/>
        <w:rPr>
          <w:b/>
          <w:i/>
          <w:sz w:val="18"/>
          <w:szCs w:val="18"/>
        </w:rPr>
      </w:pPr>
      <w:r w:rsidRPr="00DA20FE">
        <w:rPr>
          <w:b/>
          <w:i/>
          <w:sz w:val="18"/>
          <w:szCs w:val="18"/>
        </w:rPr>
        <w:t>ASSESSMENT METHOD AND CRITERIA</w:t>
      </w:r>
    </w:p>
    <w:p w14:paraId="0252533F" w14:textId="26F980D7" w:rsidR="00CB238F" w:rsidRPr="00DA20FE" w:rsidRDefault="00CB238F" w:rsidP="00CB238F">
      <w:pPr>
        <w:pStyle w:val="Testo2"/>
        <w:spacing w:line="240" w:lineRule="exact"/>
        <w:rPr>
          <w:rFonts w:ascii="Times New Roman" w:hAnsi="Times New Roman"/>
          <w:noProof w:val="0"/>
          <w:szCs w:val="18"/>
        </w:rPr>
      </w:pPr>
      <w:r w:rsidRPr="00DA20FE">
        <w:rPr>
          <w:rFonts w:ascii="Times New Roman" w:hAnsi="Times New Roman"/>
          <w:noProof w:val="0"/>
          <w:szCs w:val="18"/>
        </w:rPr>
        <w:t xml:space="preserve">The final oral examination aims to assess students’ preparation of the specified reading list and their understanding of the overall course contents. Students will also be assessed on their ability to make effective arguments, their interdisciplinary, </w:t>
      </w:r>
      <w:r w:rsidRPr="007F61EC">
        <w:rPr>
          <w:rFonts w:ascii="Times New Roman" w:hAnsi="Times New Roman"/>
          <w:noProof w:val="0"/>
          <w:szCs w:val="18"/>
        </w:rPr>
        <w:t>and their individual interpretation of the contents presented. Besides knowledge of cou</w:t>
      </w:r>
      <w:r w:rsidRPr="00DA20FE">
        <w:rPr>
          <w:rFonts w:ascii="Times New Roman" w:hAnsi="Times New Roman"/>
          <w:noProof w:val="0"/>
          <w:szCs w:val="18"/>
        </w:rPr>
        <w:t>rse content, a key assessment criteria is the masterful and effortless use of the specialist terminology of the discipline in question, coupled with methodological rigour in the application of the theoretical instruments deemed most coherent and relevant to each exam question.</w:t>
      </w:r>
    </w:p>
    <w:p w14:paraId="6D34C92D" w14:textId="77777777" w:rsidR="00BE6164" w:rsidRPr="00DA20FE" w:rsidRDefault="00BE6164" w:rsidP="00BE6164">
      <w:pPr>
        <w:spacing w:before="240" w:after="120"/>
        <w:rPr>
          <w:b/>
          <w:i/>
          <w:sz w:val="18"/>
          <w:szCs w:val="18"/>
        </w:rPr>
      </w:pPr>
      <w:r w:rsidRPr="00DA20FE">
        <w:rPr>
          <w:b/>
          <w:i/>
          <w:sz w:val="18"/>
          <w:szCs w:val="18"/>
        </w:rPr>
        <w:t>NOTES AND PREREQUISITES</w:t>
      </w:r>
    </w:p>
    <w:p w14:paraId="4AF5E428" w14:textId="2EA49032" w:rsidR="00D9174B" w:rsidRPr="00DA20FE" w:rsidRDefault="00CB238F" w:rsidP="00D9174B">
      <w:pPr>
        <w:pStyle w:val="Testo2"/>
        <w:spacing w:before="120"/>
        <w:rPr>
          <w:rFonts w:ascii="Times New Roman" w:hAnsi="Times New Roman"/>
          <w:noProof w:val="0"/>
          <w:szCs w:val="18"/>
        </w:rPr>
      </w:pPr>
      <w:r w:rsidRPr="00DA20FE">
        <w:rPr>
          <w:rFonts w:ascii="Times New Roman" w:hAnsi="Times New Roman"/>
          <w:noProof w:val="0"/>
          <w:szCs w:val="18"/>
        </w:rPr>
        <w:t>The course has no prerequisites in terms of specific knowledge or skill.</w:t>
      </w:r>
    </w:p>
    <w:p w14:paraId="02AFEF6E" w14:textId="77777777" w:rsidR="00D17DAC" w:rsidRPr="00DA20FE" w:rsidRDefault="00D17DAC" w:rsidP="00D9174B">
      <w:pPr>
        <w:pStyle w:val="Testo2"/>
        <w:spacing w:before="120"/>
        <w:rPr>
          <w:rFonts w:ascii="Times New Roman" w:hAnsi="Times New Roman"/>
          <w:noProof w:val="0"/>
          <w:szCs w:val="18"/>
        </w:rPr>
      </w:pPr>
    </w:p>
    <w:p w14:paraId="13A4C7BD" w14:textId="7CBFA7C3" w:rsidR="00CB238F" w:rsidRPr="00DA20FE" w:rsidRDefault="00CB238F" w:rsidP="00CB238F">
      <w:pPr>
        <w:pStyle w:val="Testo2"/>
        <w:rPr>
          <w:rFonts w:ascii="Times New Roman" w:hAnsi="Times New Roman"/>
          <w:noProof w:val="0"/>
          <w:szCs w:val="18"/>
        </w:rPr>
      </w:pPr>
      <w:r w:rsidRPr="00DA20FE">
        <w:rPr>
          <w:rFonts w:ascii="Times New Roman" w:hAnsi="Times New Roman"/>
          <w:noProof w:val="0"/>
          <w:szCs w:val="18"/>
        </w:rPr>
        <w:t>Further information can be found on the lecturer's webpage at http://docenti.unicatt.it/web/searchByName.do?language=ENG, or on the Faculty notice board.</w:t>
      </w:r>
    </w:p>
    <w:p w14:paraId="338F6571" w14:textId="77777777" w:rsidR="00CB238F" w:rsidRPr="00DA20FE" w:rsidRDefault="00CB238F" w:rsidP="00CB238F">
      <w:r w:rsidRPr="00DA20FE">
        <w:t xml:space="preserve"> </w:t>
      </w:r>
    </w:p>
    <w:p w14:paraId="1F337A57" w14:textId="77777777" w:rsidR="00CB238F" w:rsidRPr="00DA20FE" w:rsidRDefault="00CB238F" w:rsidP="00CB238F"/>
    <w:p w14:paraId="14E930BA" w14:textId="77777777" w:rsidR="00CB238F" w:rsidRPr="00DA20FE" w:rsidRDefault="00CB238F" w:rsidP="00CB238F"/>
    <w:p w14:paraId="50FF103C" w14:textId="77777777" w:rsidR="00CB238F" w:rsidRPr="00DA20FE" w:rsidRDefault="00CB238F" w:rsidP="00CB238F"/>
    <w:p w14:paraId="68E66BE0" w14:textId="77777777" w:rsidR="00473E10" w:rsidRPr="00DA20FE" w:rsidRDefault="00473E10"/>
    <w:sectPr w:rsidR="00473E10" w:rsidRPr="00DA20FE" w:rsidSect="00BB1A6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D51B" w14:textId="77777777" w:rsidR="00FA1CC1" w:rsidRDefault="00FA1CC1" w:rsidP="00BE6164">
      <w:pPr>
        <w:spacing w:line="240" w:lineRule="auto"/>
      </w:pPr>
      <w:r>
        <w:separator/>
      </w:r>
    </w:p>
  </w:endnote>
  <w:endnote w:type="continuationSeparator" w:id="0">
    <w:p w14:paraId="6106F89A" w14:textId="77777777" w:rsidR="00FA1CC1" w:rsidRDefault="00FA1CC1" w:rsidP="00BE6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BC5C" w14:textId="77777777" w:rsidR="00FA1CC1" w:rsidRDefault="00FA1CC1" w:rsidP="00BE6164">
      <w:pPr>
        <w:spacing w:line="240" w:lineRule="auto"/>
      </w:pPr>
      <w:r>
        <w:separator/>
      </w:r>
    </w:p>
  </w:footnote>
  <w:footnote w:type="continuationSeparator" w:id="0">
    <w:p w14:paraId="30737D3D" w14:textId="77777777" w:rsidR="00FA1CC1" w:rsidRDefault="00FA1CC1" w:rsidP="00BE61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D157C"/>
    <w:multiLevelType w:val="hybridMultilevel"/>
    <w:tmpl w:val="B7724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051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A5"/>
    <w:rsid w:val="00017CC0"/>
    <w:rsid w:val="0017629E"/>
    <w:rsid w:val="001F38F4"/>
    <w:rsid w:val="00294D12"/>
    <w:rsid w:val="003A6563"/>
    <w:rsid w:val="003C25D5"/>
    <w:rsid w:val="00442BB3"/>
    <w:rsid w:val="00473E10"/>
    <w:rsid w:val="004B27F6"/>
    <w:rsid w:val="005B275B"/>
    <w:rsid w:val="005E1A24"/>
    <w:rsid w:val="00621367"/>
    <w:rsid w:val="006D18AF"/>
    <w:rsid w:val="00785060"/>
    <w:rsid w:val="007F61EC"/>
    <w:rsid w:val="008B033B"/>
    <w:rsid w:val="009363C7"/>
    <w:rsid w:val="00A43E61"/>
    <w:rsid w:val="00A44715"/>
    <w:rsid w:val="00A9738F"/>
    <w:rsid w:val="00B52867"/>
    <w:rsid w:val="00B93A82"/>
    <w:rsid w:val="00BE6164"/>
    <w:rsid w:val="00C430A5"/>
    <w:rsid w:val="00CB238F"/>
    <w:rsid w:val="00D17DAC"/>
    <w:rsid w:val="00D6196D"/>
    <w:rsid w:val="00D9174B"/>
    <w:rsid w:val="00DA20FE"/>
    <w:rsid w:val="00F333F2"/>
    <w:rsid w:val="00F440F0"/>
    <w:rsid w:val="00FA1CC1"/>
    <w:rsid w:val="00FA58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303E"/>
  <w15:chartTrackingRefBased/>
  <w15:docId w15:val="{8C16E9EA-75EB-4BB5-827D-4E884CDA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238F"/>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CB238F"/>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CB238F"/>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CB238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238F"/>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CB238F"/>
    <w:rPr>
      <w:rFonts w:ascii="Times" w:eastAsia="Times New Roman" w:hAnsi="Times" w:cs="Times New Roman"/>
      <w:smallCaps/>
      <w:noProof/>
      <w:sz w:val="18"/>
      <w:szCs w:val="20"/>
      <w:lang w:eastAsia="it-IT"/>
    </w:rPr>
  </w:style>
  <w:style w:type="paragraph" w:customStyle="1" w:styleId="Testo1">
    <w:name w:val="Testo 1"/>
    <w:rsid w:val="00CB238F"/>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CB238F"/>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CB238F"/>
    <w:rPr>
      <w:rFonts w:asciiTheme="majorHAnsi" w:eastAsiaTheme="majorEastAsia" w:hAnsiTheme="majorHAnsi" w:cstheme="majorBidi"/>
      <w:color w:val="1F3763" w:themeColor="accent1" w:themeShade="7F"/>
      <w:sz w:val="24"/>
      <w:szCs w:val="24"/>
      <w:lang w:eastAsia="it-IT"/>
    </w:rPr>
  </w:style>
  <w:style w:type="paragraph" w:styleId="Intestazione">
    <w:name w:val="header"/>
    <w:basedOn w:val="Normale"/>
    <w:link w:val="IntestazioneCarattere"/>
    <w:uiPriority w:val="99"/>
    <w:unhideWhenUsed/>
    <w:rsid w:val="00BE616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E6164"/>
    <w:rPr>
      <w:rFonts w:ascii="Times New Roman" w:eastAsia="Times New Roman" w:hAnsi="Times New Roman" w:cs="Times New Roman"/>
      <w:sz w:val="20"/>
      <w:szCs w:val="24"/>
      <w:lang w:eastAsia="it-IT"/>
    </w:rPr>
  </w:style>
  <w:style w:type="paragraph" w:styleId="Pidipagina">
    <w:name w:val="footer"/>
    <w:basedOn w:val="Normale"/>
    <w:link w:val="PidipaginaCarattere"/>
    <w:uiPriority w:val="99"/>
    <w:unhideWhenUsed/>
    <w:rsid w:val="00BE616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E6164"/>
    <w:rPr>
      <w:rFonts w:ascii="Times New Roman" w:eastAsia="Times New Roman" w:hAnsi="Times New Roman"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4524</Characters>
  <Application>Microsoft Office Word</Application>
  <DocSecurity>4</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dc:creator>
  <cp:keywords/>
  <dc:description/>
  <cp:lastModifiedBy>Mensi Rossella</cp:lastModifiedBy>
  <cp:revision>2</cp:revision>
  <dcterms:created xsi:type="dcterms:W3CDTF">2023-02-01T15:35:00Z</dcterms:created>
  <dcterms:modified xsi:type="dcterms:W3CDTF">2023-02-01T15:35:00Z</dcterms:modified>
</cp:coreProperties>
</file>