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8C97" w14:textId="77777777" w:rsidR="00ED421B" w:rsidRDefault="008E5D8A">
      <w:pPr>
        <w:pStyle w:val="Titolo1"/>
      </w:pPr>
      <w:r>
        <w:t>Diritto europeo del commercio internazionale</w:t>
      </w:r>
    </w:p>
    <w:p w14:paraId="48D53461" w14:textId="77777777" w:rsidR="00ED421B" w:rsidRDefault="008E5D8A">
      <w:pPr>
        <w:pStyle w:val="Titolo2"/>
      </w:pPr>
      <w:r>
        <w:t xml:space="preserve">Prof.ssa Vera </w:t>
      </w:r>
      <w:proofErr w:type="spellStart"/>
      <w:r>
        <w:t>Squaratti</w:t>
      </w:r>
      <w:proofErr w:type="spellEnd"/>
    </w:p>
    <w:p w14:paraId="36473791" w14:textId="77777777" w:rsidR="00ED421B" w:rsidRDefault="008E5D8A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652B96B5" w14:textId="77777777" w:rsidR="00ED421B" w:rsidRDefault="008E5D8A">
      <w:pPr>
        <w:rPr>
          <w:b/>
          <w:bCs/>
          <w:i/>
          <w:iCs/>
        </w:rPr>
      </w:pPr>
      <w:r>
        <w:rPr>
          <w:b/>
          <w:bCs/>
          <w:i/>
          <w:iCs/>
        </w:rPr>
        <w:t>Obiettivo del corso</w:t>
      </w:r>
    </w:p>
    <w:p w14:paraId="54418035" w14:textId="77777777" w:rsidR="00ED421B" w:rsidRDefault="008E5D8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corso di Diritto europeo del commercio internazionale persegue i seguenti obiettivi:</w:t>
      </w:r>
    </w:p>
    <w:p w14:paraId="6FE06504" w14:textId="77777777" w:rsidR="00ED421B" w:rsidRDefault="008E5D8A">
      <w:pPr>
        <w:numPr>
          <w:ilvl w:val="0"/>
          <w:numId w:val="2"/>
        </w:numPr>
      </w:pPr>
      <w:r>
        <w:rPr>
          <w:rFonts w:ascii="Times New Roman" w:hAnsi="Times New Roman"/>
        </w:rPr>
        <w:t>fornire un approfondimento relativo al</w:t>
      </w:r>
      <w:r>
        <w:t>la disciplina dell’UE degli scambi di merci e servizi, attraverso la trattazione del diritto del mercato interno europeo e della regolamentazione degli scambi con Paesi terzi;</w:t>
      </w:r>
    </w:p>
    <w:p w14:paraId="0E903CA6" w14:textId="77777777" w:rsidR="00ED421B" w:rsidRDefault="008E5D8A">
      <w:pPr>
        <w:numPr>
          <w:ilvl w:val="0"/>
          <w:numId w:val="2"/>
        </w:numPr>
      </w:pPr>
      <w:r>
        <w:t>analizzare le politiche dell’UE nel contesto degli scambi di merci e servizi, attraverso la trattazione del diritto del mercato interno europeo e della regolamentazione degli scambi con Paesi terzi, in relazione al quadro istituzionale dell’UE, alle fonti di diritto dell’UE e alla loro rilevanza negli ordinamenti giuridici interni degli Stati membri;</w:t>
      </w:r>
    </w:p>
    <w:p w14:paraId="4E7358E3" w14:textId="77777777" w:rsidR="00ED421B" w:rsidRDefault="008E5D8A">
      <w:pPr>
        <w:numPr>
          <w:ilvl w:val="0"/>
          <w:numId w:val="2"/>
        </w:numPr>
      </w:pPr>
      <w:r>
        <w:t>esaminare i profili di diritto doganale, i quali rivestono una notevole rilevanza per coloro i quali siano destinati ad operare nel settore delle importazioni ed esportazioni di merci.</w:t>
      </w:r>
    </w:p>
    <w:p w14:paraId="3A25D93A" w14:textId="77777777" w:rsidR="00ED421B" w:rsidRDefault="008E5D8A">
      <w:pPr>
        <w:rPr>
          <w:b/>
          <w:bCs/>
          <w:i/>
          <w:iCs/>
          <w:sz w:val="18"/>
          <w:szCs w:val="18"/>
        </w:rPr>
      </w:pPr>
      <w:r>
        <w:t xml:space="preserve">Le tematiche saranno affrontate con un confronto costante con le regole del diritto del commercio internazionale, con particolare riguardo alle norme dell’Organizzazione Mondiale del Commercio (WTO), agli accordi di libero scambio e </w:t>
      </w:r>
      <w:r w:rsidR="0067604A">
        <w:t xml:space="preserve">di </w:t>
      </w:r>
      <w:r>
        <w:t>unione doganale</w:t>
      </w:r>
      <w:r w:rsidR="0067604A">
        <w:t>, nonché, in particolare,</w:t>
      </w:r>
      <w:r>
        <w:t xml:space="preserve"> alla disciplina delle misure di difesa commerciale. </w:t>
      </w:r>
    </w:p>
    <w:p w14:paraId="590B5AF6" w14:textId="77777777" w:rsidR="00ED421B" w:rsidRDefault="00ED421B"/>
    <w:p w14:paraId="23AD87DB" w14:textId="77777777" w:rsidR="00ED421B" w:rsidRDefault="008E5D8A">
      <w:pPr>
        <w:tabs>
          <w:tab w:val="clear" w:pos="284"/>
        </w:tabs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Risultati di apprendimento attesi</w:t>
      </w:r>
    </w:p>
    <w:p w14:paraId="53419308" w14:textId="77777777" w:rsidR="00ED421B" w:rsidRDefault="008E5D8A">
      <w:pPr>
        <w:tabs>
          <w:tab w:val="clear" w:pos="284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Conoscenza e comprensione</w:t>
      </w:r>
    </w:p>
    <w:p w14:paraId="15B275C5" w14:textId="77777777" w:rsidR="00ED421B" w:rsidRDefault="008E5D8A">
      <w:pPr>
        <w:tabs>
          <w:tab w:val="clear" w:pos="284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 termine dell'insegnamento, lo studente sarà in grado di comprendere:</w:t>
      </w:r>
    </w:p>
    <w:p w14:paraId="7A5CD490" w14:textId="77777777" w:rsidR="00ED421B" w:rsidRDefault="008E5D8A">
      <w:pPr>
        <w:numPr>
          <w:ilvl w:val="0"/>
          <w:numId w:val="4"/>
        </w:numPr>
        <w:jc w:val="left"/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il sistema degli scambi commerciali di merci e di </w:t>
      </w:r>
      <w:r w:rsidR="0067604A"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servizi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nel contesto del mercato interno dell’Unione Europea;</w:t>
      </w:r>
    </w:p>
    <w:p w14:paraId="56539BE3" w14:textId="77777777" w:rsidR="00ED421B" w:rsidRDefault="008E5D8A">
      <w:pPr>
        <w:numPr>
          <w:ilvl w:val="0"/>
          <w:numId w:val="4"/>
        </w:numPr>
        <w:jc w:val="left"/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la disciplina degli scambi commerciali di merci e servizi con i Paesi terzi;</w:t>
      </w:r>
    </w:p>
    <w:p w14:paraId="60902BCE" w14:textId="77777777" w:rsidR="00ED421B" w:rsidRDefault="008E5D8A">
      <w:pPr>
        <w:numPr>
          <w:ilvl w:val="0"/>
          <w:numId w:val="4"/>
        </w:numP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la regolamentazione dei rapporti commerciali internazionali, con particolare riferimento alla disciplina doganale.</w:t>
      </w:r>
    </w:p>
    <w:p w14:paraId="15ED5D99" w14:textId="77777777" w:rsidR="00ED421B" w:rsidRDefault="00ED421B">
      <w:pPr>
        <w:tabs>
          <w:tab w:val="clear" w:pos="284"/>
        </w:tabs>
        <w:jc w:val="left"/>
        <w:rPr>
          <w:rFonts w:ascii="Times New Roman" w:eastAsia="Times New Roman" w:hAnsi="Times New Roman" w:cs="Times New Roman"/>
        </w:rPr>
      </w:pPr>
    </w:p>
    <w:p w14:paraId="4E2C6F4D" w14:textId="77777777" w:rsidR="00ED421B" w:rsidRDefault="008E5D8A">
      <w:pPr>
        <w:tabs>
          <w:tab w:val="clear" w:pos="284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Capacità di applicare conoscenza e comprensione</w:t>
      </w:r>
    </w:p>
    <w:p w14:paraId="19B6CA12" w14:textId="77777777" w:rsidR="00ED421B" w:rsidRDefault="008E5D8A">
      <w:pPr>
        <w:tabs>
          <w:tab w:val="clear" w:pos="284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Al termine dell'insegnamento, lo studente sarà in grado di: </w:t>
      </w:r>
    </w:p>
    <w:p w14:paraId="1472DA00" w14:textId="40FA7673" w:rsidR="00ED421B" w:rsidRDefault="008E5D8A">
      <w:pPr>
        <w:numPr>
          <w:ilvl w:val="0"/>
          <w:numId w:val="6"/>
        </w:numP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analizzare e interpretare le fonti del diritto dell’Unione Europea riferite agli scambi commerciali di merci nel contesto del mercato interno dell’Unione Europea;</w:t>
      </w:r>
    </w:p>
    <w:p w14:paraId="1521F417" w14:textId="77777777" w:rsidR="00ED421B" w:rsidRDefault="008E5D8A">
      <w:pPr>
        <w:numPr>
          <w:ilvl w:val="0"/>
          <w:numId w:val="6"/>
        </w:numP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lastRenderedPageBreak/>
        <w:t>analizzare gli atti delle istituzioni europee e, in particolare, la giurisprudenza della Corte di Giustizia;</w:t>
      </w:r>
    </w:p>
    <w:p w14:paraId="529DD1C6" w14:textId="77777777" w:rsidR="00ED421B" w:rsidRDefault="008E5D8A">
      <w:pPr>
        <w:numPr>
          <w:ilvl w:val="0"/>
          <w:numId w:val="6"/>
        </w:numP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valutare la conformità delle norme degli ordinamenti giuridici interni degli Stati membri dell’UE rispetto agli obblighi internazionali;</w:t>
      </w:r>
    </w:p>
    <w:p w14:paraId="0B857459" w14:textId="77777777" w:rsidR="00ED421B" w:rsidRDefault="008E5D8A">
      <w:pPr>
        <w:numPr>
          <w:ilvl w:val="0"/>
          <w:numId w:val="6"/>
        </w:numP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identificare e applicare la regole doganali applicabili agli scambi commerciali internazionali.</w:t>
      </w:r>
    </w:p>
    <w:p w14:paraId="19CD1E86" w14:textId="77777777" w:rsidR="00ED421B" w:rsidRPr="00C075EB" w:rsidRDefault="008E5D8A">
      <w:pPr>
        <w:spacing w:before="240" w:after="120"/>
        <w:rPr>
          <w:b/>
          <w:bCs/>
          <w:i/>
          <w:iCs/>
          <w:sz w:val="18"/>
          <w:szCs w:val="18"/>
        </w:rPr>
      </w:pPr>
      <w:r w:rsidRPr="00C075EB">
        <w:rPr>
          <w:b/>
          <w:bCs/>
          <w:i/>
          <w:iCs/>
          <w:sz w:val="18"/>
          <w:szCs w:val="18"/>
        </w:rPr>
        <w:t>PROGRAMMA DEL CORSO</w:t>
      </w:r>
    </w:p>
    <w:p w14:paraId="6D18CA40" w14:textId="77777777" w:rsidR="00ED421B" w:rsidRDefault="008E5D8A">
      <w:pPr>
        <w:keepNext/>
      </w:pPr>
      <w:r>
        <w:t xml:space="preserve">Durante il corso verranno affrontate e approfondite le seguenti tematiche: </w:t>
      </w:r>
    </w:p>
    <w:p w14:paraId="6B13F5B4" w14:textId="77777777" w:rsidR="00ED421B" w:rsidRDefault="008E5D8A">
      <w:pPr>
        <w:keepNext/>
        <w:numPr>
          <w:ilvl w:val="0"/>
          <w:numId w:val="2"/>
        </w:numPr>
      </w:pPr>
      <w:r>
        <w:t>l’Unione europea come unione doganale e la differenza rispetto agli accordi di libero scambio;</w:t>
      </w:r>
    </w:p>
    <w:p w14:paraId="77C5EF5A" w14:textId="77777777" w:rsidR="00ED421B" w:rsidRDefault="008E5D8A">
      <w:pPr>
        <w:keepNext/>
        <w:numPr>
          <w:ilvl w:val="0"/>
          <w:numId w:val="2"/>
        </w:numPr>
      </w:pPr>
      <w:r>
        <w:t>la tariffa doganale dell’UE;</w:t>
      </w:r>
    </w:p>
    <w:p w14:paraId="7F7C3E5C" w14:textId="77777777" w:rsidR="00ED421B" w:rsidRDefault="008E5D8A">
      <w:pPr>
        <w:keepNext/>
        <w:numPr>
          <w:ilvl w:val="0"/>
          <w:numId w:val="2"/>
        </w:numPr>
      </w:pPr>
      <w:r>
        <w:t>la competenza esclusiva dell’UE in materia di politica commerciale;</w:t>
      </w:r>
    </w:p>
    <w:p w14:paraId="5C715A90" w14:textId="77777777" w:rsidR="00ED421B" w:rsidRDefault="008E5D8A">
      <w:pPr>
        <w:keepNext/>
        <w:numPr>
          <w:ilvl w:val="0"/>
          <w:numId w:val="2"/>
        </w:numPr>
      </w:pPr>
      <w:r>
        <w:t>il regime degli scambi con i Paesi in via di sviluppo;</w:t>
      </w:r>
    </w:p>
    <w:p w14:paraId="03AC2BFF" w14:textId="77777777" w:rsidR="00ED421B" w:rsidRDefault="008E5D8A">
      <w:pPr>
        <w:keepNext/>
        <w:numPr>
          <w:ilvl w:val="0"/>
          <w:numId w:val="2"/>
        </w:numPr>
      </w:pPr>
      <w:r>
        <w:t>la UE e il WTO: le misure di difesa commerciale;</w:t>
      </w:r>
    </w:p>
    <w:p w14:paraId="7F207567" w14:textId="77777777" w:rsidR="00ED421B" w:rsidRDefault="008E5D8A">
      <w:pPr>
        <w:keepNext/>
        <w:numPr>
          <w:ilvl w:val="0"/>
          <w:numId w:val="2"/>
        </w:numPr>
      </w:pPr>
      <w:r>
        <w:t>la libera circolazione delle merci nel mercato interno dell’UE;</w:t>
      </w:r>
    </w:p>
    <w:p w14:paraId="1B44F139" w14:textId="77777777" w:rsidR="00ED421B" w:rsidRDefault="008E5D8A">
      <w:pPr>
        <w:keepNext/>
        <w:numPr>
          <w:ilvl w:val="0"/>
          <w:numId w:val="2"/>
        </w:numPr>
      </w:pPr>
      <w:r>
        <w:t>la giurisprudenza dell’UE riferita alla libera circolazione delle merci;</w:t>
      </w:r>
    </w:p>
    <w:p w14:paraId="3EE6D479" w14:textId="77777777" w:rsidR="00ED421B" w:rsidRDefault="008E5D8A">
      <w:pPr>
        <w:keepNext/>
        <w:numPr>
          <w:ilvl w:val="0"/>
          <w:numId w:val="2"/>
        </w:numPr>
      </w:pPr>
      <w:r>
        <w:t>le altre libertà di circolazione nel mercato interno.</w:t>
      </w:r>
    </w:p>
    <w:p w14:paraId="38720BB6" w14:textId="77777777" w:rsidR="00ED421B" w:rsidRPr="00C075EB" w:rsidRDefault="008E5D8A">
      <w:pPr>
        <w:keepNext/>
        <w:spacing w:before="240" w:after="120"/>
        <w:rPr>
          <w:b/>
          <w:bCs/>
          <w:i/>
          <w:iCs/>
          <w:sz w:val="18"/>
          <w:szCs w:val="18"/>
        </w:rPr>
      </w:pPr>
      <w:r w:rsidRPr="00C075EB">
        <w:rPr>
          <w:b/>
          <w:bCs/>
          <w:i/>
          <w:iCs/>
          <w:sz w:val="18"/>
          <w:szCs w:val="18"/>
        </w:rPr>
        <w:t>BIBLIOGRAFIA</w:t>
      </w:r>
      <w:r w:rsidR="002B7B4F">
        <w:rPr>
          <w:rStyle w:val="Rimandonotaapidipagina"/>
          <w:rFonts w:hint="eastAsia"/>
          <w:b/>
          <w:bCs/>
          <w:i/>
          <w:iCs/>
          <w:sz w:val="18"/>
          <w:szCs w:val="18"/>
        </w:rPr>
        <w:footnoteReference w:id="1"/>
      </w:r>
    </w:p>
    <w:p w14:paraId="0A381239" w14:textId="77777777" w:rsidR="00ED421B" w:rsidRPr="00D12CC4" w:rsidRDefault="008E5D8A">
      <w:pPr>
        <w:keepNext/>
        <w:spacing w:before="240" w:after="120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È obbligatorio lo studio del testo seguente:</w:t>
      </w:r>
    </w:p>
    <w:p w14:paraId="241FC4AA" w14:textId="7E64E3ED" w:rsidR="00ED421B" w:rsidRPr="00D12CC4" w:rsidRDefault="008E5D8A">
      <w:pPr>
        <w:tabs>
          <w:tab w:val="clear" w:pos="284"/>
        </w:tabs>
        <w:rPr>
          <w:rFonts w:ascii="Times New Roman" w:hAnsi="Times New Roman" w:cs="Times New Roman"/>
          <w:sz w:val="18"/>
          <w:szCs w:val="18"/>
        </w:rPr>
      </w:pPr>
      <w:r w:rsidRPr="374311E3">
        <w:rPr>
          <w:rFonts w:ascii="Times New Roman" w:hAnsi="Times New Roman" w:cs="Times New Roman"/>
          <w:smallCaps/>
          <w:sz w:val="16"/>
          <w:szCs w:val="16"/>
        </w:rPr>
        <w:t xml:space="preserve">A. Arena - F. Bestagno- G. </w:t>
      </w:r>
      <w:proofErr w:type="spellStart"/>
      <w:r w:rsidRPr="374311E3">
        <w:rPr>
          <w:rFonts w:ascii="Times New Roman" w:hAnsi="Times New Roman" w:cs="Times New Roman"/>
          <w:smallCaps/>
          <w:sz w:val="16"/>
          <w:szCs w:val="16"/>
        </w:rPr>
        <w:t>Rossolillo</w:t>
      </w:r>
      <w:proofErr w:type="spellEnd"/>
      <w:r w:rsidRPr="374311E3">
        <w:rPr>
          <w:rFonts w:ascii="Times New Roman" w:hAnsi="Times New Roman" w:cs="Times New Roman"/>
          <w:b/>
          <w:bCs/>
          <w:smallCaps/>
          <w:sz w:val="18"/>
          <w:szCs w:val="18"/>
        </w:rPr>
        <w:t xml:space="preserve">, </w:t>
      </w:r>
      <w:r w:rsidRPr="374311E3">
        <w:rPr>
          <w:rFonts w:ascii="Times New Roman" w:hAnsi="Times New Roman" w:cs="Times New Roman"/>
          <w:i/>
          <w:iCs/>
          <w:sz w:val="18"/>
          <w:szCs w:val="18"/>
        </w:rPr>
        <w:t>Mercato unico e libertà di circolazione nell’Unione europea</w:t>
      </w:r>
      <w:r w:rsidRPr="374311E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374311E3">
        <w:rPr>
          <w:rFonts w:ascii="Times New Roman" w:hAnsi="Times New Roman" w:cs="Times New Roman"/>
          <w:sz w:val="18"/>
          <w:szCs w:val="18"/>
        </w:rPr>
        <w:t>Giappichelli</w:t>
      </w:r>
      <w:proofErr w:type="spellEnd"/>
      <w:r w:rsidRPr="374311E3">
        <w:rPr>
          <w:rFonts w:ascii="Times New Roman" w:hAnsi="Times New Roman" w:cs="Times New Roman"/>
          <w:sz w:val="18"/>
          <w:szCs w:val="18"/>
        </w:rPr>
        <w:t xml:space="preserve">, 2020, 2ª ed., del quale sono da studiare le seguenti pagine: pp. 1-160; 221-240; 273-287; 293-299. Nelle pagine indicate formano oggetto di esame tutti i Commenti, nonché solo le sentenze indicate qui in calce come </w:t>
      </w:r>
      <w:r w:rsidRPr="374311E3">
        <w:rPr>
          <w:rFonts w:ascii="Times New Roman" w:hAnsi="Times New Roman" w:cs="Times New Roman"/>
          <w:sz w:val="18"/>
          <w:szCs w:val="18"/>
          <w:u w:val="single"/>
        </w:rPr>
        <w:t>sentenze relative alla II edizione</w:t>
      </w:r>
      <w:r w:rsidRPr="374311E3">
        <w:rPr>
          <w:rFonts w:ascii="Times New Roman" w:hAnsi="Times New Roman" w:cs="Times New Roman"/>
          <w:sz w:val="18"/>
          <w:szCs w:val="18"/>
        </w:rPr>
        <w:t>; non sono invece destinate ad essere oggetto di studio le norme riportate nel libro, di cui è semplicemente consigliata la consultazione al fine di una migliore comprensione dei Commenti nei capitoli e delle sentenze.</w:t>
      </w:r>
      <w:r w:rsidR="002B7B4F" w:rsidRPr="374311E3">
        <w:rPr>
          <w:rFonts w:ascii="Times New Roman" w:hAnsi="Times New Roman" w:cs="Times New Roman"/>
          <w:sz w:val="18"/>
          <w:szCs w:val="18"/>
        </w:rPr>
        <w:t xml:space="preserve"> </w:t>
      </w:r>
      <w:hyperlink r:id="rId8">
        <w:r w:rsidR="002B7B4F" w:rsidRPr="374311E3">
          <w:rPr>
            <w:rStyle w:val="Collegamentoipertestuale"/>
            <w:rFonts w:ascii="Times New Roman" w:hAnsi="Times New Roman" w:cs="Times New Roman"/>
            <w:sz w:val="18"/>
            <w:szCs w:val="18"/>
          </w:rPr>
          <w:t>Acquista da V&amp;P</w:t>
        </w:r>
      </w:hyperlink>
    </w:p>
    <w:p w14:paraId="191A34F7" w14:textId="77777777" w:rsidR="00E3041D" w:rsidRPr="00D12CC4" w:rsidRDefault="00E3041D" w:rsidP="00E3041D">
      <w:pPr>
        <w:tabs>
          <w:tab w:val="clear" w:pos="284"/>
        </w:tabs>
        <w:rPr>
          <w:rFonts w:ascii="Times New Roman" w:hAnsi="Times New Roman" w:cs="Times New Roman"/>
          <w:smallCaps/>
          <w:sz w:val="18"/>
          <w:szCs w:val="18"/>
        </w:rPr>
      </w:pPr>
      <w:bookmarkStart w:id="0" w:name="_GoBack"/>
      <w:bookmarkEnd w:id="0"/>
    </w:p>
    <w:p w14:paraId="30B6FBEB" w14:textId="77777777" w:rsidR="00ED421B" w:rsidRPr="00D12CC4" w:rsidRDefault="008E5D8A">
      <w:pPr>
        <w:tabs>
          <w:tab w:val="clear" w:pos="284"/>
        </w:tabs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  <w:u w:val="single"/>
        </w:rPr>
        <w:t>Per chi fosse in possesso della Prima edizione, 2016,</w:t>
      </w:r>
      <w:r w:rsidRPr="00D12CC4">
        <w:rPr>
          <w:rFonts w:ascii="Times New Roman" w:hAnsi="Times New Roman" w:cs="Times New Roman"/>
          <w:sz w:val="18"/>
          <w:szCs w:val="18"/>
        </w:rPr>
        <w:t xml:space="preserve"> sono da studiare le seguenti pagine: </w:t>
      </w:r>
      <w:r w:rsidRPr="00D12CC4">
        <w:rPr>
          <w:rFonts w:ascii="Times New Roman" w:hAnsi="Times New Roman" w:cs="Times New Roman"/>
          <w:sz w:val="18"/>
          <w:szCs w:val="18"/>
          <w:u w:val="single"/>
        </w:rPr>
        <w:t>pp. 1-180; 265-282; 331-353; 362-366,</w:t>
      </w:r>
      <w:r w:rsidRPr="00D12CC4">
        <w:rPr>
          <w:rFonts w:ascii="Times New Roman" w:hAnsi="Times New Roman" w:cs="Times New Roman"/>
          <w:sz w:val="18"/>
          <w:szCs w:val="18"/>
        </w:rPr>
        <w:t xml:space="preserve"> nonché le sentenze relative alla I edizione riportate in fondo al programma.</w:t>
      </w:r>
    </w:p>
    <w:p w14:paraId="76EB2323" w14:textId="77777777" w:rsidR="002B7B4F" w:rsidRPr="00D12CC4" w:rsidRDefault="002B7B4F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35AFDB78" w14:textId="77777777" w:rsidR="00ED421B" w:rsidRPr="00D12CC4" w:rsidRDefault="008E5D8A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D12CC4"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DIDATTICA DEL CORSO</w:t>
      </w:r>
    </w:p>
    <w:p w14:paraId="368357D9" w14:textId="28D4BABB" w:rsidR="00ED421B" w:rsidRPr="00D12CC4" w:rsidRDefault="008E5D8A" w:rsidP="00C075EB">
      <w:pPr>
        <w:spacing w:before="240" w:after="120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 xml:space="preserve">La metodologia didattica prescelta prevede che vengano impartite principalmente lezioni frontali, con discussione di casi pratici sotto la guida del docente e con l’esame di materiali in parte in lingua inglese. In particolare, nel corso delle lezioni verranno analizzate una serie di norme del WTO, di diritto dell’UE e di diritto italiano relative alle operazioni doganali, agli scambi nel mercato interno dell’UE, agli scambi internazionali di beni e servizi. Accanto a tale materiale normativo saranno analizzate una serie di sentenze della Corte di Giustizia dell’UE relative al mercato interno e agli scambi internazionali. </w:t>
      </w:r>
    </w:p>
    <w:p w14:paraId="67CDDDB8" w14:textId="77777777" w:rsidR="00ED421B" w:rsidRPr="00D12CC4" w:rsidRDefault="008E5D8A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D12CC4">
        <w:rPr>
          <w:rFonts w:ascii="Times New Roman" w:hAnsi="Times New Roman" w:cs="Times New Roman"/>
          <w:b/>
          <w:bCs/>
          <w:i/>
          <w:iCs/>
          <w:sz w:val="18"/>
          <w:szCs w:val="18"/>
        </w:rPr>
        <w:t>METODO E CRITERI DI VALUTAZIONE</w:t>
      </w:r>
    </w:p>
    <w:p w14:paraId="5FBFDD65" w14:textId="77777777" w:rsidR="00ED421B" w:rsidRPr="00D12CC4" w:rsidRDefault="008E5D8A">
      <w:pPr>
        <w:tabs>
          <w:tab w:val="clear" w:pos="284"/>
        </w:tabs>
        <w:ind w:left="284" w:hanging="284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 xml:space="preserve">Gli esami si svolgeranno in forma orale. </w:t>
      </w:r>
    </w:p>
    <w:p w14:paraId="5E9D47B4" w14:textId="77777777" w:rsidR="00ED421B" w:rsidRPr="00D12CC4" w:rsidRDefault="008E5D8A">
      <w:pPr>
        <w:tabs>
          <w:tab w:val="clear" w:pos="284"/>
        </w:tabs>
        <w:ind w:left="1" w:hanging="1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Nel corso degli esami verrà verificata la conoscenza da parte dello studente dei caratteri fondamentali della disciplina degli scambi internazionali nel diritto dell’UE, anche con riguardo agli scambi con i Paesi terzi. La verifica avrà ad oggetto la comprensione e la conoscenza degli istituti giuridici rilevanti e delle soluzioni offerte nella prassi applicativa e giurisprudenziale.</w:t>
      </w:r>
    </w:p>
    <w:p w14:paraId="52D4A054" w14:textId="77777777" w:rsidR="00ED421B" w:rsidRPr="00D12CC4" w:rsidRDefault="008E5D8A">
      <w:pPr>
        <w:tabs>
          <w:tab w:val="clear" w:pos="284"/>
        </w:tabs>
        <w:ind w:left="1" w:hanging="1"/>
        <w:rPr>
          <w:rFonts w:ascii="Times New Roman" w:eastAsia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Voti di eccellenza e buoni saranno attribuiti a coloro che dimostreranno un livello di eccellenza o, rispettivamente, buono per quanto riguarda la completezza della trattazione e correttezza dei contenuti delle risposte; abilità di valutazione critica e di argomentazione giuridica; capacità di indicare con precisione le fonti normative e giurisprudenziali; capacità inquadramento dei temi trattati e di collegamento tra i vari argomenti; accuratezza della forma dell’esposizione e appropriatezza della terminologia giuridica utilizzata.</w:t>
      </w:r>
    </w:p>
    <w:p w14:paraId="42178B7C" w14:textId="77777777" w:rsidR="00ED421B" w:rsidRPr="00D12CC4" w:rsidRDefault="008E5D8A">
      <w:pPr>
        <w:tabs>
          <w:tab w:val="clear" w:pos="284"/>
        </w:tabs>
        <w:ind w:left="1" w:hanging="1"/>
        <w:rPr>
          <w:rFonts w:ascii="Times New Roman" w:eastAsia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Valutazioni discrete saranno attribuite a coloro che dimostreranno la conoscenza del programma e delle fonti di riferimento senza lacune rilevanti, una discreta capacità di argomentazione, di inquadramento e di collegamento, e un linguaggio tecnico-giuridico adeguato.</w:t>
      </w:r>
    </w:p>
    <w:p w14:paraId="1C4EED24" w14:textId="77777777" w:rsidR="00ED421B" w:rsidRPr="00D12CC4" w:rsidRDefault="008E5D8A">
      <w:pPr>
        <w:tabs>
          <w:tab w:val="clear" w:pos="284"/>
        </w:tabs>
        <w:ind w:left="1" w:hanging="1"/>
        <w:rPr>
          <w:rFonts w:ascii="Times New Roman" w:eastAsia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Valutazioni sufficienti risulteranno dalla verifica del possesso delle sole conoscenze basilari e di lacune formative su parti non fondamentali del programma, di una capacità sufficiente di orientarsi tra i vari argomenti e di effettuare collegamenti, nonché dall’utilizzo di un linguaggio tecnico-giuridico solo parzialmente impreciso.</w:t>
      </w:r>
    </w:p>
    <w:p w14:paraId="1AEC306F" w14:textId="4EAB3867" w:rsidR="00ED421B" w:rsidRPr="00D12CC4" w:rsidRDefault="008E5D8A">
      <w:pPr>
        <w:tabs>
          <w:tab w:val="clear" w:pos="284"/>
        </w:tabs>
        <w:ind w:left="1" w:hanging="1"/>
        <w:rPr>
          <w:rFonts w:ascii="Times New Roman" w:eastAsia="Times New Roman" w:hAnsi="Times New Roman" w:cs="Times New Roman"/>
          <w:color w:val="212121"/>
          <w:sz w:val="18"/>
          <w:szCs w:val="18"/>
          <w:u w:color="212121"/>
        </w:rPr>
      </w:pPr>
      <w:r w:rsidRPr="00D12CC4">
        <w:rPr>
          <w:rFonts w:ascii="Times New Roman" w:hAnsi="Times New Roman" w:cs="Times New Roman"/>
          <w:sz w:val="18"/>
          <w:szCs w:val="18"/>
        </w:rPr>
        <w:t xml:space="preserve">L’esame non si </w:t>
      </w:r>
      <w:r w:rsidR="006C29CD" w:rsidRPr="00D12CC4">
        <w:rPr>
          <w:rFonts w:ascii="Times New Roman" w:hAnsi="Times New Roman" w:cs="Times New Roman"/>
          <w:sz w:val="18"/>
          <w:szCs w:val="18"/>
        </w:rPr>
        <w:t>intenderà</w:t>
      </w:r>
      <w:r w:rsidRPr="00D12CC4">
        <w:rPr>
          <w:rFonts w:ascii="Times New Roman" w:hAnsi="Times New Roman" w:cs="Times New Roman"/>
          <w:sz w:val="18"/>
          <w:szCs w:val="18"/>
        </w:rPr>
        <w:t xml:space="preserve"> superato in presenza di </w:t>
      </w:r>
      <w:r w:rsidRPr="00D12CC4">
        <w:rPr>
          <w:rFonts w:ascii="Times New Roman" w:hAnsi="Times New Roman" w:cs="Times New Roman"/>
          <w:color w:val="212121"/>
          <w:sz w:val="18"/>
          <w:szCs w:val="18"/>
          <w:u w:color="212121"/>
        </w:rPr>
        <w:t xml:space="preserve">lacune formative su parti fondamentali del programma, di rilevanti difficoltà di inquadramento e orientamento in ordine alla materia, nonché di un linguaggio </w:t>
      </w:r>
      <w:r w:rsidRPr="00D12CC4">
        <w:rPr>
          <w:rFonts w:ascii="Times New Roman" w:hAnsi="Times New Roman" w:cs="Times New Roman"/>
          <w:sz w:val="18"/>
          <w:szCs w:val="18"/>
        </w:rPr>
        <w:t>tecnico-giuridico</w:t>
      </w:r>
      <w:r w:rsidRPr="00D12CC4">
        <w:rPr>
          <w:rFonts w:ascii="Times New Roman" w:hAnsi="Times New Roman" w:cs="Times New Roman"/>
          <w:color w:val="212121"/>
          <w:sz w:val="18"/>
          <w:szCs w:val="18"/>
          <w:u w:color="212121"/>
        </w:rPr>
        <w:t xml:space="preserve"> fortemente inappropriato.</w:t>
      </w:r>
    </w:p>
    <w:p w14:paraId="720AC832" w14:textId="77777777" w:rsidR="00ED421B" w:rsidRPr="00D12CC4" w:rsidRDefault="00ED421B">
      <w:pPr>
        <w:tabs>
          <w:tab w:val="clear" w:pos="284"/>
        </w:tabs>
        <w:ind w:left="284" w:hanging="284"/>
        <w:rPr>
          <w:rFonts w:ascii="Times New Roman" w:eastAsia="Times New Roman" w:hAnsi="Times New Roman" w:cs="Times New Roman"/>
          <w:color w:val="212121"/>
          <w:sz w:val="18"/>
          <w:szCs w:val="18"/>
          <w:u w:color="212121"/>
        </w:rPr>
      </w:pPr>
    </w:p>
    <w:p w14:paraId="22AF1702" w14:textId="567E135F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  <w:u w:val="single"/>
        </w:rPr>
        <w:t>Sentenze</w:t>
      </w:r>
      <w:r w:rsidRPr="00D12CC4">
        <w:rPr>
          <w:rFonts w:ascii="Times New Roman" w:hAnsi="Times New Roman" w:cs="Times New Roman"/>
        </w:rPr>
        <w:t xml:space="preserve"> della Corte di Giustizia da preparare dalla </w:t>
      </w:r>
      <w:r w:rsidRPr="00D12CC4">
        <w:rPr>
          <w:rFonts w:ascii="Times New Roman" w:hAnsi="Times New Roman" w:cs="Times New Roman"/>
          <w:u w:val="single"/>
          <w:lang w:val="de-DE"/>
        </w:rPr>
        <w:t>II EDIZIONE</w:t>
      </w:r>
      <w:r w:rsidRPr="00D12CC4">
        <w:rPr>
          <w:rFonts w:ascii="Times New Roman" w:hAnsi="Times New Roman" w:cs="Times New Roman"/>
        </w:rPr>
        <w:t xml:space="preserve"> del volume “Mercato unico e </w:t>
      </w:r>
      <w:r w:rsidR="006C29CD" w:rsidRPr="00D12CC4">
        <w:rPr>
          <w:rFonts w:ascii="Times New Roman" w:hAnsi="Times New Roman" w:cs="Times New Roman"/>
        </w:rPr>
        <w:t>libertà</w:t>
      </w:r>
      <w:r w:rsidRPr="00D12CC4">
        <w:rPr>
          <w:rFonts w:ascii="Times New Roman" w:hAnsi="Times New Roman" w:cs="Times New Roman"/>
          <w:lang w:val="fr-FR"/>
        </w:rPr>
        <w:t xml:space="preserve">à </w:t>
      </w:r>
      <w:r w:rsidRPr="00D12CC4">
        <w:rPr>
          <w:rFonts w:ascii="Times New Roman" w:hAnsi="Times New Roman" w:cs="Times New Roman"/>
        </w:rPr>
        <w:t>di circolazione nell’Unione europea”:</w:t>
      </w:r>
    </w:p>
    <w:p w14:paraId="3212707C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  <w:r w:rsidRPr="00D12CC4">
        <w:rPr>
          <w:rFonts w:ascii="Times New Roman" w:hAnsi="Times New Roman" w:cs="Times New Roman"/>
          <w:i/>
          <w:iCs/>
        </w:rPr>
        <w:t xml:space="preserve">Capitolo 1: La libera circolazione delle merci </w:t>
      </w:r>
    </w:p>
    <w:p w14:paraId="087206D6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Il mercato interno e l’unione doganale </w:t>
      </w:r>
    </w:p>
    <w:p w14:paraId="197D05A7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3.3.</w:t>
      </w:r>
      <w:r w:rsidRPr="00D12CC4">
        <w:rPr>
          <w:rFonts w:ascii="Times New Roman" w:hAnsi="Times New Roman" w:cs="Times New Roman"/>
        </w:rPr>
        <w:tab/>
        <w:t>Sentenza 10 dicembre 1968, causa 7/68, Comm. c. Italia (“</w:t>
      </w:r>
      <w:proofErr w:type="spellStart"/>
      <w:r w:rsidRPr="00D12CC4">
        <w:rPr>
          <w:rFonts w:ascii="Times New Roman" w:hAnsi="Times New Roman" w:cs="Times New Roman"/>
        </w:rPr>
        <w:t>Italian</w:t>
      </w:r>
      <w:proofErr w:type="spellEnd"/>
      <w:r w:rsidRPr="00D12CC4">
        <w:rPr>
          <w:rFonts w:ascii="Times New Roman" w:hAnsi="Times New Roman" w:cs="Times New Roman"/>
        </w:rPr>
        <w:t xml:space="preserve"> Art”) (p. 14)</w:t>
      </w:r>
    </w:p>
    <w:p w14:paraId="6C4E9D33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lastRenderedPageBreak/>
        <w:t>B.</w:t>
      </w:r>
      <w:r w:rsidRPr="00D12CC4">
        <w:rPr>
          <w:rFonts w:ascii="Times New Roman" w:hAnsi="Times New Roman" w:cs="Times New Roman"/>
          <w:u w:val="single"/>
        </w:rPr>
        <w:tab/>
        <w:t xml:space="preserve">Rilevanza ed effetti delle norme di diritto dell’UE in materia di libera circolazione delle merci </w:t>
      </w:r>
    </w:p>
    <w:p w14:paraId="1EF19CF3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2.1</w:t>
      </w:r>
      <w:r w:rsidRPr="00D12CC4">
        <w:rPr>
          <w:rFonts w:ascii="Times New Roman" w:hAnsi="Times New Roman" w:cs="Times New Roman"/>
        </w:rPr>
        <w:tab/>
        <w:t xml:space="preserve">Sentenza 5 febbraio 1963, causa 26/62, Van </w:t>
      </w:r>
      <w:proofErr w:type="spellStart"/>
      <w:r w:rsidRPr="00D12CC4">
        <w:rPr>
          <w:rFonts w:ascii="Times New Roman" w:hAnsi="Times New Roman" w:cs="Times New Roman"/>
        </w:rPr>
        <w:t>Gend</w:t>
      </w:r>
      <w:proofErr w:type="spellEnd"/>
      <w:r w:rsidRPr="00D12CC4">
        <w:rPr>
          <w:rFonts w:ascii="Times New Roman" w:hAnsi="Times New Roman" w:cs="Times New Roman"/>
        </w:rPr>
        <w:t xml:space="preserve"> en </w:t>
      </w:r>
      <w:proofErr w:type="spellStart"/>
      <w:r w:rsidRPr="00D12CC4">
        <w:rPr>
          <w:rFonts w:ascii="Times New Roman" w:hAnsi="Times New Roman" w:cs="Times New Roman"/>
        </w:rPr>
        <w:t>Loos</w:t>
      </w:r>
      <w:proofErr w:type="spellEnd"/>
      <w:r w:rsidRPr="00D12CC4">
        <w:rPr>
          <w:rFonts w:ascii="Times New Roman" w:hAnsi="Times New Roman" w:cs="Times New Roman"/>
        </w:rPr>
        <w:t xml:space="preserve"> (p. 22)</w:t>
      </w:r>
    </w:p>
    <w:p w14:paraId="361ECDA6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2.5</w:t>
      </w:r>
      <w:r w:rsidRPr="00D12CC4">
        <w:rPr>
          <w:rFonts w:ascii="Times New Roman" w:hAnsi="Times New Roman" w:cs="Times New Roman"/>
        </w:rPr>
        <w:tab/>
        <w:t xml:space="preserve">Sentenza 5 marzo 1996, cause riunite C-46/96 e C-48/93, Brasserie </w:t>
      </w:r>
      <w:proofErr w:type="spellStart"/>
      <w:r w:rsidRPr="00D12CC4">
        <w:rPr>
          <w:rFonts w:ascii="Times New Roman" w:hAnsi="Times New Roman" w:cs="Times New Roman"/>
        </w:rPr>
        <w:t>du</w:t>
      </w:r>
      <w:proofErr w:type="spellEnd"/>
      <w:r w:rsidRPr="00D12CC4">
        <w:rPr>
          <w:rFonts w:ascii="Times New Roman" w:hAnsi="Times New Roman" w:cs="Times New Roman"/>
        </w:rPr>
        <w:t xml:space="preserve"> Pê</w:t>
      </w:r>
      <w:proofErr w:type="spellStart"/>
      <w:r w:rsidRPr="00D12CC4">
        <w:rPr>
          <w:rFonts w:ascii="Times New Roman" w:hAnsi="Times New Roman" w:cs="Times New Roman"/>
          <w:lang w:val="fr-FR"/>
        </w:rPr>
        <w:t>cheur</w:t>
      </w:r>
      <w:proofErr w:type="spellEnd"/>
      <w:r w:rsidRPr="00D12CC4">
        <w:rPr>
          <w:rFonts w:ascii="Times New Roman" w:hAnsi="Times New Roman" w:cs="Times New Roman"/>
          <w:lang w:val="fr-FR"/>
        </w:rPr>
        <w:t xml:space="preserve"> (p. 27)</w:t>
      </w:r>
    </w:p>
    <w:p w14:paraId="56C43C0F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C.</w:t>
      </w:r>
      <w:r w:rsidRPr="00D12CC4">
        <w:rPr>
          <w:rFonts w:ascii="Times New Roman" w:hAnsi="Times New Roman" w:cs="Times New Roman"/>
          <w:u w:val="single"/>
        </w:rPr>
        <w:tab/>
        <w:t>Il divieto di ostacoli di natura fiscale nel commercio tra stati membri</w:t>
      </w:r>
    </w:p>
    <w:p w14:paraId="4140F4B9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2.5</w:t>
      </w:r>
      <w:r w:rsidRPr="00D12CC4">
        <w:rPr>
          <w:rFonts w:ascii="Times New Roman" w:hAnsi="Times New Roman" w:cs="Times New Roman"/>
        </w:rPr>
        <w:tab/>
        <w:t xml:space="preserve">Sentenza 26 febbraio 1975, causa 63-74, </w:t>
      </w:r>
      <w:proofErr w:type="spellStart"/>
      <w:r w:rsidRPr="00D12CC4">
        <w:rPr>
          <w:rFonts w:ascii="Times New Roman" w:hAnsi="Times New Roman" w:cs="Times New Roman"/>
        </w:rPr>
        <w:t>Cadsky</w:t>
      </w:r>
      <w:proofErr w:type="spellEnd"/>
      <w:r w:rsidRPr="00D12CC4">
        <w:rPr>
          <w:rFonts w:ascii="Times New Roman" w:hAnsi="Times New Roman" w:cs="Times New Roman"/>
        </w:rPr>
        <w:t xml:space="preserve"> (p. 40)</w:t>
      </w:r>
    </w:p>
    <w:p w14:paraId="73F93EE9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2.8</w:t>
      </w:r>
      <w:r w:rsidRPr="00D12CC4">
        <w:rPr>
          <w:rFonts w:ascii="Times New Roman" w:hAnsi="Times New Roman" w:cs="Times New Roman"/>
        </w:rPr>
        <w:tab/>
        <w:t>Sentenza 4 maggio 1986, causa 106/84, Comm. c. Danimarca (“vini d’uva e di frutta”, p. 43)</w:t>
      </w:r>
    </w:p>
    <w:p w14:paraId="3BEF6B74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2.9</w:t>
      </w:r>
      <w:r w:rsidRPr="00D12CC4">
        <w:rPr>
          <w:rFonts w:ascii="Times New Roman" w:hAnsi="Times New Roman" w:cs="Times New Roman"/>
        </w:rPr>
        <w:tab/>
        <w:t>Sentenza 12 luglio 1983, causa 170/78, Comm. c. Regno Unito (“vino e birra”, p. 53)</w:t>
      </w:r>
    </w:p>
    <w:p w14:paraId="6AFA0FE3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D.</w:t>
      </w:r>
      <w:r w:rsidRPr="00D12CC4">
        <w:rPr>
          <w:rFonts w:ascii="Times New Roman" w:hAnsi="Times New Roman" w:cs="Times New Roman"/>
          <w:u w:val="single"/>
        </w:rPr>
        <w:tab/>
        <w:t xml:space="preserve">Il divieto di restrizioni quantitative e di misure di effetto equivalente: le misure distintamente applicabili </w:t>
      </w:r>
    </w:p>
    <w:p w14:paraId="1640740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 xml:space="preserve">Sentenza 11 luglio 1974, causa 8/74, </w:t>
      </w:r>
      <w:proofErr w:type="spellStart"/>
      <w:r w:rsidRPr="00D12CC4">
        <w:rPr>
          <w:rFonts w:ascii="Times New Roman" w:hAnsi="Times New Roman" w:cs="Times New Roman"/>
        </w:rPr>
        <w:t>Dassonville</w:t>
      </w:r>
      <w:proofErr w:type="spellEnd"/>
      <w:r w:rsidRPr="00D12CC4">
        <w:rPr>
          <w:rFonts w:ascii="Times New Roman" w:hAnsi="Times New Roman" w:cs="Times New Roman"/>
        </w:rPr>
        <w:t xml:space="preserve"> (p. 55)</w:t>
      </w:r>
    </w:p>
    <w:p w14:paraId="41AED348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</w:t>
      </w:r>
      <w:r w:rsidRPr="00D12CC4">
        <w:rPr>
          <w:rFonts w:ascii="Times New Roman" w:hAnsi="Times New Roman" w:cs="Times New Roman"/>
        </w:rPr>
        <w:tab/>
        <w:t>Sentenza 9 dicembre 1981, causa 193/80, Comm. c. Italia ("Aceto") (p. 57)</w:t>
      </w:r>
    </w:p>
    <w:p w14:paraId="6AEC3C3B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E.</w:t>
      </w:r>
      <w:r w:rsidRPr="00D12CC4">
        <w:rPr>
          <w:rFonts w:ascii="Times New Roman" w:hAnsi="Times New Roman" w:cs="Times New Roman"/>
          <w:u w:val="single"/>
        </w:rPr>
        <w:tab/>
        <w:t xml:space="preserve">Segue: le misure indistintamente applicabili </w:t>
      </w:r>
    </w:p>
    <w:p w14:paraId="03CFA3CA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20 febbraio 1979, causa 120/78, "</w:t>
      </w:r>
      <w:proofErr w:type="spellStart"/>
      <w:r w:rsidRPr="00D12CC4">
        <w:rPr>
          <w:rFonts w:ascii="Times New Roman" w:hAnsi="Times New Roman" w:cs="Times New Roman"/>
        </w:rPr>
        <w:t>Cassis</w:t>
      </w:r>
      <w:proofErr w:type="spellEnd"/>
      <w:r w:rsidRPr="00D12CC4">
        <w:rPr>
          <w:rFonts w:ascii="Times New Roman" w:hAnsi="Times New Roman" w:cs="Times New Roman"/>
        </w:rPr>
        <w:t xml:space="preserve"> de </w:t>
      </w:r>
      <w:proofErr w:type="spellStart"/>
      <w:r w:rsidRPr="00D12CC4">
        <w:rPr>
          <w:rFonts w:ascii="Times New Roman" w:hAnsi="Times New Roman" w:cs="Times New Roman"/>
        </w:rPr>
        <w:t>Dijon</w:t>
      </w:r>
      <w:proofErr w:type="spellEnd"/>
      <w:r w:rsidRPr="00D12CC4">
        <w:rPr>
          <w:rFonts w:ascii="Times New Roman" w:hAnsi="Times New Roman" w:cs="Times New Roman"/>
        </w:rPr>
        <w:t>" (p.71)</w:t>
      </w:r>
    </w:p>
    <w:p w14:paraId="4FCB35B4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3.2</w:t>
      </w:r>
      <w:r w:rsidRPr="00D12CC4">
        <w:rPr>
          <w:rFonts w:ascii="Times New Roman" w:hAnsi="Times New Roman" w:cs="Times New Roman"/>
        </w:rPr>
        <w:tab/>
        <w:t xml:space="preserve">Sentenza 24 novembre 1993, cause riunite C-267/91 e C-268/91, </w:t>
      </w:r>
      <w:proofErr w:type="spellStart"/>
      <w:r w:rsidRPr="00D12CC4">
        <w:rPr>
          <w:rFonts w:ascii="Times New Roman" w:hAnsi="Times New Roman" w:cs="Times New Roman"/>
        </w:rPr>
        <w:t>Keck</w:t>
      </w:r>
      <w:proofErr w:type="spellEnd"/>
      <w:r w:rsidRPr="00D12CC4">
        <w:rPr>
          <w:rFonts w:ascii="Times New Roman" w:hAnsi="Times New Roman" w:cs="Times New Roman"/>
        </w:rPr>
        <w:t xml:space="preserve"> e </w:t>
      </w:r>
      <w:proofErr w:type="spellStart"/>
      <w:r w:rsidRPr="00D12CC4">
        <w:rPr>
          <w:rFonts w:ascii="Times New Roman" w:hAnsi="Times New Roman" w:cs="Times New Roman"/>
        </w:rPr>
        <w:t>Mithouard</w:t>
      </w:r>
      <w:proofErr w:type="spellEnd"/>
      <w:r w:rsidRPr="00D12CC4">
        <w:rPr>
          <w:rFonts w:ascii="Times New Roman" w:hAnsi="Times New Roman" w:cs="Times New Roman"/>
        </w:rPr>
        <w:t xml:space="preserve"> (p. 73)</w:t>
      </w:r>
    </w:p>
    <w:p w14:paraId="41D8128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 xml:space="preserve">Sentenza 11 dicembre 2003, causa C-322/01, </w:t>
      </w:r>
      <w:proofErr w:type="spellStart"/>
      <w:r w:rsidRPr="00D12CC4">
        <w:rPr>
          <w:rFonts w:ascii="Times New Roman" w:hAnsi="Times New Roman" w:cs="Times New Roman"/>
        </w:rPr>
        <w:t>Deutscher</w:t>
      </w:r>
      <w:proofErr w:type="spellEnd"/>
      <w:r w:rsidRPr="00D12CC4">
        <w:rPr>
          <w:rFonts w:ascii="Times New Roman" w:hAnsi="Times New Roman" w:cs="Times New Roman"/>
        </w:rPr>
        <w:t xml:space="preserve"> </w:t>
      </w:r>
      <w:proofErr w:type="spellStart"/>
      <w:r w:rsidRPr="00D12CC4">
        <w:rPr>
          <w:rFonts w:ascii="Times New Roman" w:hAnsi="Times New Roman" w:cs="Times New Roman"/>
        </w:rPr>
        <w:t>Apothekerverband</w:t>
      </w:r>
      <w:proofErr w:type="spellEnd"/>
      <w:r w:rsidRPr="00D12CC4">
        <w:rPr>
          <w:rFonts w:ascii="Times New Roman" w:hAnsi="Times New Roman" w:cs="Times New Roman"/>
        </w:rPr>
        <w:t xml:space="preserve"> (p. 75)</w:t>
      </w:r>
    </w:p>
    <w:p w14:paraId="194AD015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  Sentenza 10 febbraio 2009, causa C-110/05, Commissione c. Italia (rimorchi, p.78)</w:t>
      </w:r>
    </w:p>
    <w:p w14:paraId="661D7AB6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F.</w:t>
      </w:r>
      <w:r w:rsidRPr="00D12CC4">
        <w:rPr>
          <w:rFonts w:ascii="Times New Roman" w:hAnsi="Times New Roman" w:cs="Times New Roman"/>
          <w:u w:val="single"/>
        </w:rPr>
        <w:tab/>
        <w:t xml:space="preserve">Margini di autonomia normativa degli stati membri nella tutela di interessi generali </w:t>
      </w:r>
    </w:p>
    <w:p w14:paraId="13F98418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14 luglio 1988, causa 90/86, Zoni (p. 101)</w:t>
      </w:r>
    </w:p>
    <w:p w14:paraId="664D366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</w:t>
      </w:r>
      <w:r w:rsidRPr="00D12CC4">
        <w:rPr>
          <w:rFonts w:ascii="Times New Roman" w:hAnsi="Times New Roman" w:cs="Times New Roman"/>
        </w:rPr>
        <w:tab/>
        <w:t xml:space="preserve">Sentenza 3 dicembre 1998, causa C-67/97, </w:t>
      </w:r>
      <w:proofErr w:type="spellStart"/>
      <w:r w:rsidRPr="00D12CC4">
        <w:rPr>
          <w:rFonts w:ascii="Times New Roman" w:hAnsi="Times New Roman" w:cs="Times New Roman"/>
        </w:rPr>
        <w:t>Bluhme</w:t>
      </w:r>
      <w:proofErr w:type="spellEnd"/>
      <w:r w:rsidRPr="00D12CC4">
        <w:rPr>
          <w:rFonts w:ascii="Times New Roman" w:hAnsi="Times New Roman" w:cs="Times New Roman"/>
        </w:rPr>
        <w:t xml:space="preserve"> (p. 106)</w:t>
      </w:r>
    </w:p>
    <w:p w14:paraId="3B2C00C7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3.5</w:t>
      </w:r>
      <w:r w:rsidRPr="00D12CC4">
        <w:rPr>
          <w:rFonts w:ascii="Times New Roman" w:hAnsi="Times New Roman" w:cs="Times New Roman"/>
        </w:rPr>
        <w:tab/>
        <w:t xml:space="preserve">Sentenza 11 settembre 2014, cause riunite C-204/12 a C-208/12, </w:t>
      </w:r>
      <w:proofErr w:type="spellStart"/>
      <w:r w:rsidRPr="00D12CC4">
        <w:rPr>
          <w:rFonts w:ascii="Times New Roman" w:hAnsi="Times New Roman" w:cs="Times New Roman"/>
        </w:rPr>
        <w:t>Essent</w:t>
      </w:r>
      <w:proofErr w:type="spellEnd"/>
      <w:r w:rsidRPr="00D12CC4">
        <w:rPr>
          <w:rFonts w:ascii="Times New Roman" w:hAnsi="Times New Roman" w:cs="Times New Roman"/>
        </w:rPr>
        <w:t xml:space="preserve"> </w:t>
      </w:r>
      <w:proofErr w:type="spellStart"/>
      <w:r w:rsidRPr="00D12CC4">
        <w:rPr>
          <w:rFonts w:ascii="Times New Roman" w:hAnsi="Times New Roman" w:cs="Times New Roman"/>
        </w:rPr>
        <w:t>Belgium</w:t>
      </w:r>
      <w:proofErr w:type="spellEnd"/>
      <w:r w:rsidRPr="00D12CC4">
        <w:rPr>
          <w:rFonts w:ascii="Times New Roman" w:hAnsi="Times New Roman" w:cs="Times New Roman"/>
        </w:rPr>
        <w:t xml:space="preserve"> (p. 108)</w:t>
      </w:r>
    </w:p>
    <w:p w14:paraId="2226AE75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3.7</w:t>
      </w:r>
      <w:r w:rsidRPr="00D12CC4">
        <w:rPr>
          <w:rFonts w:ascii="Times New Roman" w:hAnsi="Times New Roman" w:cs="Times New Roman"/>
        </w:rPr>
        <w:tab/>
        <w:t>Sentenza 20 marzo 2003, causa 3/00, Danimarca c. Comm. (p. 112)</w:t>
      </w:r>
    </w:p>
    <w:p w14:paraId="40FF8204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  <w:r w:rsidRPr="00D12CC4">
        <w:rPr>
          <w:rFonts w:ascii="Times New Roman" w:hAnsi="Times New Roman" w:cs="Times New Roman"/>
          <w:i/>
          <w:iCs/>
        </w:rPr>
        <w:t xml:space="preserve">Capitolo 2: La cittadinanza europea </w:t>
      </w:r>
    </w:p>
    <w:p w14:paraId="252BA02F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Cittadinanza europea e cittadinanza nazionale </w:t>
      </w:r>
    </w:p>
    <w:p w14:paraId="15ACDE8E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7 luglio 1992, causa C-369/90, Micheletti (p. 125)</w:t>
      </w:r>
    </w:p>
    <w:p w14:paraId="23E298E6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2 ottobre 2008, causa C-148/02, Garcia Avello (p. 126)</w:t>
      </w:r>
    </w:p>
    <w:p w14:paraId="47106295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</w:t>
      </w:r>
      <w:r w:rsidRPr="00D12CC4">
        <w:rPr>
          <w:rFonts w:ascii="Times New Roman" w:hAnsi="Times New Roman" w:cs="Times New Roman"/>
        </w:rPr>
        <w:tab/>
        <w:t xml:space="preserve">Sentenza 2 marzo 2010, causa C-135/08, </w:t>
      </w:r>
      <w:proofErr w:type="spellStart"/>
      <w:r w:rsidRPr="00D12CC4">
        <w:rPr>
          <w:rFonts w:ascii="Times New Roman" w:hAnsi="Times New Roman" w:cs="Times New Roman"/>
        </w:rPr>
        <w:t>Rottmann</w:t>
      </w:r>
      <w:proofErr w:type="spellEnd"/>
      <w:r w:rsidRPr="00D12CC4">
        <w:rPr>
          <w:rFonts w:ascii="Times New Roman" w:hAnsi="Times New Roman" w:cs="Times New Roman"/>
        </w:rPr>
        <w:t xml:space="preserve"> (p. 127)</w:t>
      </w:r>
    </w:p>
    <w:p w14:paraId="5AA2BC5A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B.</w:t>
      </w:r>
      <w:r w:rsidRPr="00D12CC4">
        <w:rPr>
          <w:rFonts w:ascii="Times New Roman" w:hAnsi="Times New Roman" w:cs="Times New Roman"/>
          <w:u w:val="single"/>
        </w:rPr>
        <w:tab/>
        <w:t xml:space="preserve">I diritti civili discendenti dalla cittadinanza europea </w:t>
      </w:r>
    </w:p>
    <w:p w14:paraId="3020BAD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19 ottobre 2004, causa C-200/02, Chen (p. 149)</w:t>
      </w:r>
    </w:p>
    <w:p w14:paraId="72AB8989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3.6</w:t>
      </w:r>
      <w:r w:rsidRPr="00D12CC4">
        <w:rPr>
          <w:rFonts w:ascii="Times New Roman" w:hAnsi="Times New Roman" w:cs="Times New Roman"/>
        </w:rPr>
        <w:tab/>
        <w:t xml:space="preserve">Sentenza 5 giugno 2018, causa C-673/16, </w:t>
      </w:r>
      <w:proofErr w:type="spellStart"/>
      <w:r w:rsidRPr="00D12CC4">
        <w:rPr>
          <w:rFonts w:ascii="Times New Roman" w:hAnsi="Times New Roman" w:cs="Times New Roman"/>
        </w:rPr>
        <w:t>Coman</w:t>
      </w:r>
      <w:proofErr w:type="spellEnd"/>
      <w:r w:rsidRPr="00D12CC4">
        <w:rPr>
          <w:rFonts w:ascii="Times New Roman" w:hAnsi="Times New Roman" w:cs="Times New Roman"/>
        </w:rPr>
        <w:t xml:space="preserve"> (p. 153)</w:t>
      </w:r>
    </w:p>
    <w:p w14:paraId="39C85404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  <w:r w:rsidRPr="00D12CC4">
        <w:rPr>
          <w:rFonts w:ascii="Times New Roman" w:hAnsi="Times New Roman" w:cs="Times New Roman"/>
          <w:i/>
          <w:iCs/>
        </w:rPr>
        <w:t xml:space="preserve">Capitolo 4: La libertà di stabilimento </w:t>
      </w:r>
    </w:p>
    <w:p w14:paraId="554BF20C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L’ambito applicativo della libertà di stabilimento </w:t>
      </w:r>
    </w:p>
    <w:p w14:paraId="5D9192F8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 xml:space="preserve">Sentenza 30 novembre 1995, causa C-55/94, </w:t>
      </w:r>
      <w:proofErr w:type="spellStart"/>
      <w:r w:rsidRPr="00D12CC4">
        <w:rPr>
          <w:rFonts w:ascii="Times New Roman" w:hAnsi="Times New Roman" w:cs="Times New Roman"/>
        </w:rPr>
        <w:t>Gebhard</w:t>
      </w:r>
      <w:proofErr w:type="spellEnd"/>
      <w:r w:rsidRPr="00D12CC4">
        <w:rPr>
          <w:rFonts w:ascii="Times New Roman" w:hAnsi="Times New Roman" w:cs="Times New Roman"/>
        </w:rPr>
        <w:t xml:space="preserve"> (p. 224)</w:t>
      </w:r>
    </w:p>
    <w:p w14:paraId="34C0216A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 xml:space="preserve">Sentenza 27 settembre 1988, causa 81/87, </w:t>
      </w:r>
      <w:proofErr w:type="spellStart"/>
      <w:r w:rsidRPr="00D12CC4">
        <w:rPr>
          <w:rFonts w:ascii="Times New Roman" w:hAnsi="Times New Roman" w:cs="Times New Roman"/>
        </w:rPr>
        <w:t>Daily</w:t>
      </w:r>
      <w:proofErr w:type="spellEnd"/>
      <w:r w:rsidRPr="00D12CC4">
        <w:rPr>
          <w:rFonts w:ascii="Times New Roman" w:hAnsi="Times New Roman" w:cs="Times New Roman"/>
        </w:rPr>
        <w:t xml:space="preserve"> Mail (p. 226)</w:t>
      </w:r>
    </w:p>
    <w:p w14:paraId="49CEB9DF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B.</w:t>
      </w:r>
      <w:r w:rsidRPr="00D12CC4">
        <w:rPr>
          <w:rFonts w:ascii="Times New Roman" w:hAnsi="Times New Roman" w:cs="Times New Roman"/>
          <w:u w:val="single"/>
        </w:rPr>
        <w:tab/>
        <w:t xml:space="preserve">L’integrazione negativa in materia di stabilimento </w:t>
      </w:r>
    </w:p>
    <w:p w14:paraId="1ABD7C1A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lastRenderedPageBreak/>
        <w:t>2.2</w:t>
      </w:r>
      <w:r w:rsidRPr="00D12CC4">
        <w:rPr>
          <w:rFonts w:ascii="Times New Roman" w:hAnsi="Times New Roman" w:cs="Times New Roman"/>
        </w:rPr>
        <w:tab/>
        <w:t xml:space="preserve">Sentenza 21 giugno 1974, causa 2/74, </w:t>
      </w:r>
      <w:proofErr w:type="spellStart"/>
      <w:r w:rsidRPr="00D12CC4">
        <w:rPr>
          <w:rFonts w:ascii="Times New Roman" w:hAnsi="Times New Roman" w:cs="Times New Roman"/>
        </w:rPr>
        <w:t>Reyners</w:t>
      </w:r>
      <w:proofErr w:type="spellEnd"/>
      <w:r w:rsidRPr="00D12CC4">
        <w:rPr>
          <w:rFonts w:ascii="Times New Roman" w:hAnsi="Times New Roman" w:cs="Times New Roman"/>
        </w:rPr>
        <w:t xml:space="preserve"> (p. 232)</w:t>
      </w:r>
    </w:p>
    <w:p w14:paraId="724EADFC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2.4</w:t>
      </w:r>
      <w:r w:rsidRPr="00D12CC4">
        <w:rPr>
          <w:rFonts w:ascii="Times New Roman" w:hAnsi="Times New Roman" w:cs="Times New Roman"/>
        </w:rPr>
        <w:tab/>
        <w:t xml:space="preserve">Sentenza 25 luglio 1991, causa C-221/89, </w:t>
      </w:r>
      <w:proofErr w:type="spellStart"/>
      <w:r w:rsidRPr="00D12CC4">
        <w:rPr>
          <w:rFonts w:ascii="Times New Roman" w:hAnsi="Times New Roman" w:cs="Times New Roman"/>
        </w:rPr>
        <w:t>Factortame</w:t>
      </w:r>
      <w:proofErr w:type="spellEnd"/>
      <w:r w:rsidRPr="00D12CC4">
        <w:rPr>
          <w:rFonts w:ascii="Times New Roman" w:hAnsi="Times New Roman" w:cs="Times New Roman"/>
        </w:rPr>
        <w:t xml:space="preserve"> (p. 233)</w:t>
      </w:r>
    </w:p>
    <w:p w14:paraId="4F7593C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  <w:r w:rsidRPr="00D12CC4">
        <w:rPr>
          <w:rFonts w:ascii="Times New Roman" w:hAnsi="Times New Roman" w:cs="Times New Roman"/>
          <w:i/>
          <w:iCs/>
        </w:rPr>
        <w:t>Capitolo 5: La libera prestazione dei servizi</w:t>
      </w:r>
    </w:p>
    <w:p w14:paraId="6CB25303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L’ambito applicativo della libera prestazione dei servizi </w:t>
      </w:r>
    </w:p>
    <w:p w14:paraId="10279C9E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 xml:space="preserve">Sentenza 2 febbraio 1989, causa 186/87, </w:t>
      </w:r>
      <w:proofErr w:type="spellStart"/>
      <w:r w:rsidRPr="00D12CC4">
        <w:rPr>
          <w:rFonts w:ascii="Times New Roman" w:hAnsi="Times New Roman" w:cs="Times New Roman"/>
        </w:rPr>
        <w:t>Cowan</w:t>
      </w:r>
      <w:proofErr w:type="spellEnd"/>
      <w:r w:rsidRPr="00D12CC4">
        <w:rPr>
          <w:rFonts w:ascii="Times New Roman" w:hAnsi="Times New Roman" w:cs="Times New Roman"/>
        </w:rPr>
        <w:t xml:space="preserve"> (p. 280)</w:t>
      </w:r>
    </w:p>
    <w:p w14:paraId="5AB01D0F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</w:t>
      </w:r>
      <w:r w:rsidRPr="00D12CC4">
        <w:rPr>
          <w:rFonts w:ascii="Times New Roman" w:hAnsi="Times New Roman" w:cs="Times New Roman"/>
        </w:rPr>
        <w:tab/>
        <w:t xml:space="preserve">Sentenza 3 dicembre 1974, causa 33/74, van </w:t>
      </w:r>
      <w:proofErr w:type="spellStart"/>
      <w:r w:rsidRPr="00D12CC4">
        <w:rPr>
          <w:rFonts w:ascii="Times New Roman" w:hAnsi="Times New Roman" w:cs="Times New Roman"/>
        </w:rPr>
        <w:t>Binsbergen</w:t>
      </w:r>
      <w:proofErr w:type="spellEnd"/>
      <w:r w:rsidRPr="00D12CC4">
        <w:rPr>
          <w:rFonts w:ascii="Times New Roman" w:hAnsi="Times New Roman" w:cs="Times New Roman"/>
        </w:rPr>
        <w:t xml:space="preserve"> (p. 281)</w:t>
      </w:r>
    </w:p>
    <w:p w14:paraId="3157A31D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C. Le deroghe alla libera prestazione dei servizi</w:t>
      </w:r>
    </w:p>
    <w:p w14:paraId="0A196123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2.1</w:t>
      </w:r>
      <w:r w:rsidRPr="00D12CC4">
        <w:rPr>
          <w:rFonts w:ascii="Times New Roman" w:hAnsi="Times New Roman" w:cs="Times New Roman"/>
        </w:rPr>
        <w:tab/>
        <w:t>Sentenza 14 ottobre 2004, causa C- 36/02, Omega (p. 297)</w:t>
      </w:r>
    </w:p>
    <w:p w14:paraId="0AB027C7" w14:textId="77777777" w:rsidR="00ED421B" w:rsidRPr="00D12CC4" w:rsidRDefault="00ED421B">
      <w:pPr>
        <w:pStyle w:val="Testo2"/>
        <w:rPr>
          <w:rFonts w:ascii="Times New Roman" w:hAnsi="Times New Roman" w:cs="Times New Roman"/>
        </w:rPr>
      </w:pPr>
    </w:p>
    <w:p w14:paraId="22F2A947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 xml:space="preserve">In alternativa, per chi fosse in possesso della </w:t>
      </w:r>
      <w:r w:rsidRPr="00D12CC4">
        <w:rPr>
          <w:rFonts w:ascii="Times New Roman" w:hAnsi="Times New Roman" w:cs="Times New Roman"/>
          <w:u w:val="single"/>
        </w:rPr>
        <w:t>I edizione</w:t>
      </w:r>
      <w:r w:rsidRPr="00D12CC4">
        <w:rPr>
          <w:rFonts w:ascii="Times New Roman" w:hAnsi="Times New Roman" w:cs="Times New Roman"/>
        </w:rPr>
        <w:t xml:space="preserve">, attenendosi strettamente all’elenco seguente e senza raffronti con la II edizione e correlate interpretazioni “creative” </w:t>
      </w:r>
      <w:r w:rsidRPr="00D12CC4">
        <w:rPr>
          <w:rFonts w:ascii="Times New Roman" w:hAnsi="Times New Roman" w:cs="Times New Roman"/>
          <w:lang w:val="es-ES_tradnl"/>
        </w:rPr>
        <w:t>su ci</w:t>
      </w:r>
      <w:r w:rsidRPr="00D12CC4">
        <w:rPr>
          <w:rFonts w:ascii="Times New Roman" w:hAnsi="Times New Roman" w:cs="Times New Roman"/>
        </w:rPr>
        <w:t>ò che è da preparare o non:</w:t>
      </w:r>
    </w:p>
    <w:p w14:paraId="5254D42C" w14:textId="564ECC43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  <w:u w:val="single"/>
        </w:rPr>
        <w:t>Sentenze</w:t>
      </w:r>
      <w:r w:rsidRPr="00D12CC4">
        <w:rPr>
          <w:rFonts w:ascii="Times New Roman" w:hAnsi="Times New Roman" w:cs="Times New Roman"/>
        </w:rPr>
        <w:t xml:space="preserve"> della Corte di Giustizia da preparare dalla </w:t>
      </w:r>
      <w:r w:rsidRPr="00D12CC4">
        <w:rPr>
          <w:rFonts w:ascii="Times New Roman" w:hAnsi="Times New Roman" w:cs="Times New Roman"/>
          <w:u w:val="single"/>
        </w:rPr>
        <w:t>Prima edizione</w:t>
      </w:r>
      <w:r w:rsidRPr="00D12CC4">
        <w:rPr>
          <w:rFonts w:ascii="Times New Roman" w:hAnsi="Times New Roman" w:cs="Times New Roman"/>
        </w:rPr>
        <w:t xml:space="preserve"> del volume “Mercato unico e </w:t>
      </w:r>
      <w:r w:rsidR="006C29CD" w:rsidRPr="00D12CC4">
        <w:rPr>
          <w:rFonts w:ascii="Times New Roman" w:hAnsi="Times New Roman" w:cs="Times New Roman"/>
        </w:rPr>
        <w:t>libertà</w:t>
      </w:r>
      <w:r w:rsidRPr="00D12CC4">
        <w:rPr>
          <w:rFonts w:ascii="Times New Roman" w:hAnsi="Times New Roman" w:cs="Times New Roman"/>
          <w:lang w:val="fr-FR"/>
        </w:rPr>
        <w:t xml:space="preserve">à </w:t>
      </w:r>
      <w:r w:rsidRPr="00D12CC4">
        <w:rPr>
          <w:rFonts w:ascii="Times New Roman" w:hAnsi="Times New Roman" w:cs="Times New Roman"/>
        </w:rPr>
        <w:t>di circolazione nell’Unione europea”:</w:t>
      </w:r>
    </w:p>
    <w:p w14:paraId="1B5C6B7C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  <w:r w:rsidRPr="00D12CC4">
        <w:rPr>
          <w:rFonts w:ascii="Times New Roman" w:hAnsi="Times New Roman" w:cs="Times New Roman"/>
          <w:i/>
          <w:iCs/>
        </w:rPr>
        <w:t xml:space="preserve">Capitolo 1: La libera circolazione delle merci </w:t>
      </w:r>
    </w:p>
    <w:p w14:paraId="4394432C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Il mercato interno e l’unione doganale </w:t>
      </w:r>
    </w:p>
    <w:p w14:paraId="29E1C1A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3.3.</w:t>
      </w:r>
      <w:r w:rsidRPr="00D12CC4">
        <w:rPr>
          <w:rFonts w:ascii="Times New Roman" w:hAnsi="Times New Roman" w:cs="Times New Roman"/>
        </w:rPr>
        <w:tab/>
        <w:t>Sentenza 10 dicembre 1968, causa 7/68, Comm. c. Italia (“</w:t>
      </w:r>
      <w:proofErr w:type="spellStart"/>
      <w:r w:rsidRPr="00D12CC4">
        <w:rPr>
          <w:rFonts w:ascii="Times New Roman" w:hAnsi="Times New Roman" w:cs="Times New Roman"/>
        </w:rPr>
        <w:t>Italian</w:t>
      </w:r>
      <w:proofErr w:type="spellEnd"/>
      <w:r w:rsidRPr="00D12CC4">
        <w:rPr>
          <w:rFonts w:ascii="Times New Roman" w:hAnsi="Times New Roman" w:cs="Times New Roman"/>
        </w:rPr>
        <w:t xml:space="preserve"> Art”) (p. 14)</w:t>
      </w:r>
    </w:p>
    <w:p w14:paraId="54CE24BD" w14:textId="7EAADFE0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B.</w:t>
      </w:r>
      <w:r w:rsidRPr="00D12CC4">
        <w:rPr>
          <w:rFonts w:ascii="Times New Roman" w:hAnsi="Times New Roman" w:cs="Times New Roman"/>
          <w:u w:val="single"/>
        </w:rPr>
        <w:tab/>
        <w:t xml:space="preserve">Rilevanza ed effetti delle norme di diritto </w:t>
      </w:r>
      <w:r w:rsidR="006C29CD" w:rsidRPr="00D12CC4">
        <w:rPr>
          <w:rFonts w:ascii="Times New Roman" w:hAnsi="Times New Roman" w:cs="Times New Roman"/>
          <w:u w:val="single"/>
        </w:rPr>
        <w:t>dell’UE</w:t>
      </w:r>
      <w:r w:rsidRPr="00D12CC4">
        <w:rPr>
          <w:rFonts w:ascii="Times New Roman" w:hAnsi="Times New Roman" w:cs="Times New Roman"/>
          <w:u w:val="single"/>
        </w:rPr>
        <w:t xml:space="preserve"> in materia di libera circolazione delle merci </w:t>
      </w:r>
    </w:p>
    <w:p w14:paraId="03644C0B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2.1</w:t>
      </w:r>
      <w:r w:rsidRPr="00D12CC4">
        <w:rPr>
          <w:rFonts w:ascii="Times New Roman" w:hAnsi="Times New Roman" w:cs="Times New Roman"/>
        </w:rPr>
        <w:tab/>
        <w:t xml:space="preserve">Sentenza 5 febbraio 1963, causa 26/62, Van </w:t>
      </w:r>
      <w:proofErr w:type="spellStart"/>
      <w:r w:rsidRPr="00D12CC4">
        <w:rPr>
          <w:rFonts w:ascii="Times New Roman" w:hAnsi="Times New Roman" w:cs="Times New Roman"/>
        </w:rPr>
        <w:t>Gend</w:t>
      </w:r>
      <w:proofErr w:type="spellEnd"/>
      <w:r w:rsidRPr="00D12CC4">
        <w:rPr>
          <w:rFonts w:ascii="Times New Roman" w:hAnsi="Times New Roman" w:cs="Times New Roman"/>
        </w:rPr>
        <w:t xml:space="preserve"> en </w:t>
      </w:r>
      <w:proofErr w:type="spellStart"/>
      <w:r w:rsidRPr="00D12CC4">
        <w:rPr>
          <w:rFonts w:ascii="Times New Roman" w:hAnsi="Times New Roman" w:cs="Times New Roman"/>
        </w:rPr>
        <w:t>Loos</w:t>
      </w:r>
      <w:proofErr w:type="spellEnd"/>
      <w:r w:rsidRPr="00D12CC4">
        <w:rPr>
          <w:rFonts w:ascii="Times New Roman" w:hAnsi="Times New Roman" w:cs="Times New Roman"/>
        </w:rPr>
        <w:t xml:space="preserve"> (p. 21)</w:t>
      </w:r>
    </w:p>
    <w:p w14:paraId="39C5EC4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2.5</w:t>
      </w:r>
      <w:r w:rsidRPr="00D12CC4">
        <w:rPr>
          <w:rFonts w:ascii="Times New Roman" w:hAnsi="Times New Roman" w:cs="Times New Roman"/>
        </w:rPr>
        <w:tab/>
        <w:t xml:space="preserve">Sentenza 5 marzo 1996, cause riunite C-46/96 e C-48/93, Brasserie </w:t>
      </w:r>
      <w:proofErr w:type="spellStart"/>
      <w:r w:rsidRPr="00D12CC4">
        <w:rPr>
          <w:rFonts w:ascii="Times New Roman" w:hAnsi="Times New Roman" w:cs="Times New Roman"/>
        </w:rPr>
        <w:t>du</w:t>
      </w:r>
      <w:proofErr w:type="spellEnd"/>
      <w:r w:rsidRPr="00D12CC4">
        <w:rPr>
          <w:rFonts w:ascii="Times New Roman" w:hAnsi="Times New Roman" w:cs="Times New Roman"/>
        </w:rPr>
        <w:t xml:space="preserve"> Pê</w:t>
      </w:r>
      <w:proofErr w:type="spellStart"/>
      <w:r w:rsidRPr="00D12CC4">
        <w:rPr>
          <w:rFonts w:ascii="Times New Roman" w:hAnsi="Times New Roman" w:cs="Times New Roman"/>
          <w:lang w:val="fr-FR"/>
        </w:rPr>
        <w:t>cheur</w:t>
      </w:r>
      <w:proofErr w:type="spellEnd"/>
      <w:r w:rsidRPr="00D12CC4">
        <w:rPr>
          <w:rFonts w:ascii="Times New Roman" w:hAnsi="Times New Roman" w:cs="Times New Roman"/>
          <w:lang w:val="fr-FR"/>
        </w:rPr>
        <w:t xml:space="preserve"> e </w:t>
      </w:r>
      <w:proofErr w:type="spellStart"/>
      <w:r w:rsidRPr="00D12CC4">
        <w:rPr>
          <w:rFonts w:ascii="Times New Roman" w:hAnsi="Times New Roman" w:cs="Times New Roman"/>
          <w:lang w:val="fr-FR"/>
        </w:rPr>
        <w:t>Factortame</w:t>
      </w:r>
      <w:proofErr w:type="spellEnd"/>
      <w:r w:rsidRPr="00D12CC4">
        <w:rPr>
          <w:rFonts w:ascii="Times New Roman" w:hAnsi="Times New Roman" w:cs="Times New Roman"/>
          <w:lang w:val="fr-FR"/>
        </w:rPr>
        <w:t xml:space="preserve"> (p. 27)</w:t>
      </w:r>
    </w:p>
    <w:p w14:paraId="79056488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C.</w:t>
      </w:r>
      <w:r w:rsidRPr="00D12CC4">
        <w:rPr>
          <w:rFonts w:ascii="Times New Roman" w:hAnsi="Times New Roman" w:cs="Times New Roman"/>
          <w:u w:val="single"/>
        </w:rPr>
        <w:tab/>
        <w:t>Il divieto di ostacoli di natura fiscale nel commercio tra stati membri</w:t>
      </w:r>
    </w:p>
    <w:p w14:paraId="5EEEBD53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2.1</w:t>
      </w:r>
      <w:r w:rsidRPr="00D12CC4">
        <w:rPr>
          <w:rFonts w:ascii="Times New Roman" w:hAnsi="Times New Roman" w:cs="Times New Roman"/>
        </w:rPr>
        <w:tab/>
        <w:t>Sentenza 1 luglio 1969, causa 24/68, Comm. c. Italia (p. 39)</w:t>
      </w:r>
    </w:p>
    <w:p w14:paraId="07E2062D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2.5</w:t>
      </w:r>
      <w:r w:rsidRPr="00D12CC4">
        <w:rPr>
          <w:rFonts w:ascii="Times New Roman" w:hAnsi="Times New Roman" w:cs="Times New Roman"/>
        </w:rPr>
        <w:tab/>
        <w:t xml:space="preserve">Sentenza 26 febbraio 1975, causa 63-74, </w:t>
      </w:r>
      <w:proofErr w:type="spellStart"/>
      <w:r w:rsidRPr="00D12CC4">
        <w:rPr>
          <w:rFonts w:ascii="Times New Roman" w:hAnsi="Times New Roman" w:cs="Times New Roman"/>
        </w:rPr>
        <w:t>Cadsky</w:t>
      </w:r>
      <w:proofErr w:type="spellEnd"/>
      <w:r w:rsidRPr="00D12CC4">
        <w:rPr>
          <w:rFonts w:ascii="Times New Roman" w:hAnsi="Times New Roman" w:cs="Times New Roman"/>
        </w:rPr>
        <w:t xml:space="preserve"> (p. 45)</w:t>
      </w:r>
    </w:p>
    <w:p w14:paraId="0513AAD7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2.8</w:t>
      </w:r>
      <w:r w:rsidRPr="00D12CC4">
        <w:rPr>
          <w:rFonts w:ascii="Times New Roman" w:hAnsi="Times New Roman" w:cs="Times New Roman"/>
        </w:rPr>
        <w:tab/>
        <w:t>Sentenza 4 maggio 1986, causa 106/84, Comm. c. Danimarca (p. 49)</w:t>
      </w:r>
    </w:p>
    <w:p w14:paraId="5E8DC05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2.9</w:t>
      </w:r>
      <w:r w:rsidRPr="00D12CC4">
        <w:rPr>
          <w:rFonts w:ascii="Times New Roman" w:hAnsi="Times New Roman" w:cs="Times New Roman"/>
        </w:rPr>
        <w:tab/>
        <w:t>Sentenza 12 luglio 1983, causa 170/78, Comm. c. Regno Unito (p. 50)</w:t>
      </w:r>
    </w:p>
    <w:p w14:paraId="7F179E77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D.</w:t>
      </w:r>
      <w:r w:rsidRPr="00D12CC4">
        <w:rPr>
          <w:rFonts w:ascii="Times New Roman" w:hAnsi="Times New Roman" w:cs="Times New Roman"/>
          <w:u w:val="single"/>
        </w:rPr>
        <w:tab/>
        <w:t xml:space="preserve">Il divieto di restrizioni quantitative e di misure di effetto equivalente: le misure distintamente applicabili </w:t>
      </w:r>
    </w:p>
    <w:p w14:paraId="48274087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 xml:space="preserve">Sentenza 11 luglio 1974, causa 8/74, </w:t>
      </w:r>
      <w:proofErr w:type="spellStart"/>
      <w:r w:rsidRPr="00D12CC4">
        <w:rPr>
          <w:rFonts w:ascii="Times New Roman" w:hAnsi="Times New Roman" w:cs="Times New Roman"/>
        </w:rPr>
        <w:t>Dassonville</w:t>
      </w:r>
      <w:proofErr w:type="spellEnd"/>
      <w:r w:rsidRPr="00D12CC4">
        <w:rPr>
          <w:rFonts w:ascii="Times New Roman" w:hAnsi="Times New Roman" w:cs="Times New Roman"/>
        </w:rPr>
        <w:t xml:space="preserve"> (p. 62)</w:t>
      </w:r>
    </w:p>
    <w:p w14:paraId="24E35A47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17 giugno 1987, causa 154/85, Comm. c. Italia (p. 65)</w:t>
      </w:r>
    </w:p>
    <w:p w14:paraId="410B2A76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</w:t>
      </w:r>
      <w:r w:rsidRPr="00D12CC4">
        <w:rPr>
          <w:rFonts w:ascii="Times New Roman" w:hAnsi="Times New Roman" w:cs="Times New Roman"/>
        </w:rPr>
        <w:tab/>
        <w:t>Sentenza 9 dicembre 1981, causa 193/80, Comm. c. Italia ("Aceto") (p. 66)</w:t>
      </w:r>
    </w:p>
    <w:p w14:paraId="6468D47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E.</w:t>
      </w:r>
      <w:r w:rsidRPr="00D12CC4">
        <w:rPr>
          <w:rFonts w:ascii="Times New Roman" w:hAnsi="Times New Roman" w:cs="Times New Roman"/>
          <w:u w:val="single"/>
        </w:rPr>
        <w:tab/>
        <w:t xml:space="preserve">Segue: le misure indistintamente applicabili </w:t>
      </w:r>
    </w:p>
    <w:p w14:paraId="24AB029E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20 febbraio 1979, causa 120/78, "</w:t>
      </w:r>
      <w:proofErr w:type="spellStart"/>
      <w:r w:rsidRPr="00D12CC4">
        <w:rPr>
          <w:rFonts w:ascii="Times New Roman" w:hAnsi="Times New Roman" w:cs="Times New Roman"/>
        </w:rPr>
        <w:t>Cassis</w:t>
      </w:r>
      <w:proofErr w:type="spellEnd"/>
      <w:r w:rsidRPr="00D12CC4">
        <w:rPr>
          <w:rFonts w:ascii="Times New Roman" w:hAnsi="Times New Roman" w:cs="Times New Roman"/>
        </w:rPr>
        <w:t xml:space="preserve"> de </w:t>
      </w:r>
      <w:proofErr w:type="spellStart"/>
      <w:r w:rsidRPr="00D12CC4">
        <w:rPr>
          <w:rFonts w:ascii="Times New Roman" w:hAnsi="Times New Roman" w:cs="Times New Roman"/>
        </w:rPr>
        <w:t>Dijon</w:t>
      </w:r>
      <w:proofErr w:type="spellEnd"/>
      <w:r w:rsidRPr="00D12CC4">
        <w:rPr>
          <w:rFonts w:ascii="Times New Roman" w:hAnsi="Times New Roman" w:cs="Times New Roman"/>
        </w:rPr>
        <w:t>" (p.81)</w:t>
      </w:r>
    </w:p>
    <w:p w14:paraId="4F901BC6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3.2</w:t>
      </w:r>
      <w:r w:rsidRPr="00D12CC4">
        <w:rPr>
          <w:rFonts w:ascii="Times New Roman" w:hAnsi="Times New Roman" w:cs="Times New Roman"/>
        </w:rPr>
        <w:tab/>
        <w:t xml:space="preserve">Sentenza 24 novembre 1993, cause riunite C-267/91 e C-268/91, </w:t>
      </w:r>
      <w:proofErr w:type="spellStart"/>
      <w:r w:rsidRPr="00D12CC4">
        <w:rPr>
          <w:rFonts w:ascii="Times New Roman" w:hAnsi="Times New Roman" w:cs="Times New Roman"/>
        </w:rPr>
        <w:t>Keck</w:t>
      </w:r>
      <w:proofErr w:type="spellEnd"/>
      <w:r w:rsidRPr="00D12CC4">
        <w:rPr>
          <w:rFonts w:ascii="Times New Roman" w:hAnsi="Times New Roman" w:cs="Times New Roman"/>
        </w:rPr>
        <w:t xml:space="preserve"> e </w:t>
      </w:r>
      <w:proofErr w:type="spellStart"/>
      <w:r w:rsidRPr="00D12CC4">
        <w:rPr>
          <w:rFonts w:ascii="Times New Roman" w:hAnsi="Times New Roman" w:cs="Times New Roman"/>
        </w:rPr>
        <w:t>Mithouard</w:t>
      </w:r>
      <w:proofErr w:type="spellEnd"/>
      <w:r w:rsidRPr="00D12CC4">
        <w:rPr>
          <w:rFonts w:ascii="Times New Roman" w:hAnsi="Times New Roman" w:cs="Times New Roman"/>
        </w:rPr>
        <w:t xml:space="preserve"> (p. 83)</w:t>
      </w:r>
    </w:p>
    <w:p w14:paraId="6686537E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 xml:space="preserve">Sentenza 11 dicembre 2003, causa C-322/01, </w:t>
      </w:r>
      <w:proofErr w:type="spellStart"/>
      <w:r w:rsidRPr="00D12CC4">
        <w:rPr>
          <w:rFonts w:ascii="Times New Roman" w:hAnsi="Times New Roman" w:cs="Times New Roman"/>
        </w:rPr>
        <w:t>Deutscher</w:t>
      </w:r>
      <w:proofErr w:type="spellEnd"/>
      <w:r w:rsidRPr="00D12CC4">
        <w:rPr>
          <w:rFonts w:ascii="Times New Roman" w:hAnsi="Times New Roman" w:cs="Times New Roman"/>
        </w:rPr>
        <w:t xml:space="preserve"> </w:t>
      </w:r>
      <w:proofErr w:type="spellStart"/>
      <w:r w:rsidRPr="00D12CC4">
        <w:rPr>
          <w:rFonts w:ascii="Times New Roman" w:hAnsi="Times New Roman" w:cs="Times New Roman"/>
        </w:rPr>
        <w:t>Apothekerverband</w:t>
      </w:r>
      <w:proofErr w:type="spellEnd"/>
      <w:r w:rsidRPr="00D12CC4">
        <w:rPr>
          <w:rFonts w:ascii="Times New Roman" w:hAnsi="Times New Roman" w:cs="Times New Roman"/>
        </w:rPr>
        <w:t xml:space="preserve"> (p. 85)</w:t>
      </w:r>
    </w:p>
    <w:p w14:paraId="4A3DFD7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F.</w:t>
      </w:r>
      <w:r w:rsidRPr="00D12CC4">
        <w:rPr>
          <w:rFonts w:ascii="Times New Roman" w:hAnsi="Times New Roman" w:cs="Times New Roman"/>
          <w:u w:val="single"/>
        </w:rPr>
        <w:tab/>
        <w:t xml:space="preserve">Margini di autonomia normativa degli stati membri nella tutela di interessi generali </w:t>
      </w:r>
    </w:p>
    <w:p w14:paraId="47308469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14 luglio 1988, causa 90/86, Zoni (p. 111)</w:t>
      </w:r>
    </w:p>
    <w:p w14:paraId="2B547801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lastRenderedPageBreak/>
        <w:t>3.5</w:t>
      </w:r>
      <w:r w:rsidRPr="00D12CC4">
        <w:rPr>
          <w:rFonts w:ascii="Times New Roman" w:hAnsi="Times New Roman" w:cs="Times New Roman"/>
        </w:rPr>
        <w:tab/>
        <w:t xml:space="preserve">Sentenza 11 settembre 2014, cause riunite C-204/12 a C-208/12, </w:t>
      </w:r>
      <w:proofErr w:type="spellStart"/>
      <w:r w:rsidRPr="00D12CC4">
        <w:rPr>
          <w:rFonts w:ascii="Times New Roman" w:hAnsi="Times New Roman" w:cs="Times New Roman"/>
        </w:rPr>
        <w:t>Essent</w:t>
      </w:r>
      <w:proofErr w:type="spellEnd"/>
      <w:r w:rsidRPr="00D12CC4">
        <w:rPr>
          <w:rFonts w:ascii="Times New Roman" w:hAnsi="Times New Roman" w:cs="Times New Roman"/>
        </w:rPr>
        <w:t xml:space="preserve"> </w:t>
      </w:r>
      <w:proofErr w:type="spellStart"/>
      <w:r w:rsidRPr="00D12CC4">
        <w:rPr>
          <w:rFonts w:ascii="Times New Roman" w:hAnsi="Times New Roman" w:cs="Times New Roman"/>
        </w:rPr>
        <w:t>Belgium</w:t>
      </w:r>
      <w:proofErr w:type="spellEnd"/>
      <w:r w:rsidRPr="00D12CC4">
        <w:rPr>
          <w:rFonts w:ascii="Times New Roman" w:hAnsi="Times New Roman" w:cs="Times New Roman"/>
        </w:rPr>
        <w:t xml:space="preserve"> (p. 120)</w:t>
      </w:r>
    </w:p>
    <w:p w14:paraId="628C7941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3.7</w:t>
      </w:r>
      <w:r w:rsidRPr="00D12CC4">
        <w:rPr>
          <w:rFonts w:ascii="Times New Roman" w:hAnsi="Times New Roman" w:cs="Times New Roman"/>
        </w:rPr>
        <w:tab/>
        <w:t>Sentenza 20 marzo 2003, causa 3/00, Danimarca c. Comm. (p. 125)</w:t>
      </w:r>
    </w:p>
    <w:p w14:paraId="4214A9F9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  <w:r w:rsidRPr="00D12CC4">
        <w:rPr>
          <w:rFonts w:ascii="Times New Roman" w:hAnsi="Times New Roman" w:cs="Times New Roman"/>
          <w:i/>
          <w:iCs/>
        </w:rPr>
        <w:t xml:space="preserve">Capitolo 2: La cittadinanza europea </w:t>
      </w:r>
    </w:p>
    <w:p w14:paraId="2DC99CDC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Cittadinanza europea e cittadinanza nazionale </w:t>
      </w:r>
    </w:p>
    <w:p w14:paraId="2A9370E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7 luglio 1992, causa C-369/90, Micheletti (p. 139)</w:t>
      </w:r>
    </w:p>
    <w:p w14:paraId="755E09C1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2 ottobre 2008, causa C-148/02, Garcia Avello (p. 142)</w:t>
      </w:r>
    </w:p>
    <w:p w14:paraId="33A91CC9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</w:t>
      </w:r>
      <w:r w:rsidRPr="00D12CC4">
        <w:rPr>
          <w:rFonts w:ascii="Times New Roman" w:hAnsi="Times New Roman" w:cs="Times New Roman"/>
        </w:rPr>
        <w:tab/>
        <w:t xml:space="preserve">Sentenza 2 marzo 2010, causa C-135/08, </w:t>
      </w:r>
      <w:proofErr w:type="spellStart"/>
      <w:r w:rsidRPr="00D12CC4">
        <w:rPr>
          <w:rFonts w:ascii="Times New Roman" w:hAnsi="Times New Roman" w:cs="Times New Roman"/>
        </w:rPr>
        <w:t>Rottmann</w:t>
      </w:r>
      <w:proofErr w:type="spellEnd"/>
      <w:r w:rsidRPr="00D12CC4">
        <w:rPr>
          <w:rFonts w:ascii="Times New Roman" w:hAnsi="Times New Roman" w:cs="Times New Roman"/>
        </w:rPr>
        <w:t xml:space="preserve"> (p. 144)</w:t>
      </w:r>
    </w:p>
    <w:p w14:paraId="79C2259B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B.</w:t>
      </w:r>
      <w:r w:rsidRPr="00D12CC4">
        <w:rPr>
          <w:rFonts w:ascii="Times New Roman" w:hAnsi="Times New Roman" w:cs="Times New Roman"/>
          <w:u w:val="single"/>
        </w:rPr>
        <w:tab/>
        <w:t xml:space="preserve">I diritti civili discendenti dalla cittadinanza europea </w:t>
      </w:r>
    </w:p>
    <w:p w14:paraId="28299C4D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19 ottobre 2004, causa C-200/02, Chen (p. 163)</w:t>
      </w:r>
    </w:p>
    <w:p w14:paraId="5F5E0C83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3.5</w:t>
      </w:r>
      <w:r w:rsidRPr="00D12CC4">
        <w:rPr>
          <w:rFonts w:ascii="Times New Roman" w:hAnsi="Times New Roman" w:cs="Times New Roman"/>
        </w:rPr>
        <w:tab/>
        <w:t xml:space="preserve">Sentenza 8 marzo 2011, causa C-34/09, </w:t>
      </w:r>
      <w:proofErr w:type="spellStart"/>
      <w:r w:rsidRPr="00D12CC4">
        <w:rPr>
          <w:rFonts w:ascii="Times New Roman" w:hAnsi="Times New Roman" w:cs="Times New Roman"/>
        </w:rPr>
        <w:t>Ruiz</w:t>
      </w:r>
      <w:proofErr w:type="spellEnd"/>
      <w:r w:rsidRPr="00D12CC4">
        <w:rPr>
          <w:rFonts w:ascii="Times New Roman" w:hAnsi="Times New Roman" w:cs="Times New Roman"/>
        </w:rPr>
        <w:t xml:space="preserve"> Zambrano (p. 168)</w:t>
      </w:r>
    </w:p>
    <w:p w14:paraId="3612F5ED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  <w:r w:rsidRPr="00D12CC4">
        <w:rPr>
          <w:rFonts w:ascii="Times New Roman" w:hAnsi="Times New Roman" w:cs="Times New Roman"/>
          <w:i/>
          <w:iCs/>
        </w:rPr>
        <w:t xml:space="preserve">Capitolo 4: La libertà di stabilimento </w:t>
      </w:r>
    </w:p>
    <w:p w14:paraId="1071540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L’ambito applicativo della libertà di stabilimento </w:t>
      </w:r>
    </w:p>
    <w:p w14:paraId="66B041BD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 xml:space="preserve">Sentenza 30 novembre 1995, causa C-55/94, </w:t>
      </w:r>
      <w:proofErr w:type="spellStart"/>
      <w:r w:rsidRPr="00D12CC4">
        <w:rPr>
          <w:rFonts w:ascii="Times New Roman" w:hAnsi="Times New Roman" w:cs="Times New Roman"/>
        </w:rPr>
        <w:t>Gebhard</w:t>
      </w:r>
      <w:proofErr w:type="spellEnd"/>
      <w:r w:rsidRPr="00D12CC4">
        <w:rPr>
          <w:rFonts w:ascii="Times New Roman" w:hAnsi="Times New Roman" w:cs="Times New Roman"/>
        </w:rPr>
        <w:t xml:space="preserve"> (p. 268)</w:t>
      </w:r>
    </w:p>
    <w:p w14:paraId="12D6E347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 xml:space="preserve">Sentenza 27 settembre 1988, causa 81/87, </w:t>
      </w:r>
      <w:proofErr w:type="spellStart"/>
      <w:r w:rsidRPr="00D12CC4">
        <w:rPr>
          <w:rFonts w:ascii="Times New Roman" w:hAnsi="Times New Roman" w:cs="Times New Roman"/>
        </w:rPr>
        <w:t>Daily</w:t>
      </w:r>
      <w:proofErr w:type="spellEnd"/>
      <w:r w:rsidRPr="00D12CC4">
        <w:rPr>
          <w:rFonts w:ascii="Times New Roman" w:hAnsi="Times New Roman" w:cs="Times New Roman"/>
        </w:rPr>
        <w:t xml:space="preserve"> Mail (p. 270)</w:t>
      </w:r>
    </w:p>
    <w:p w14:paraId="58D9D8AF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B.</w:t>
      </w:r>
      <w:r w:rsidRPr="00D12CC4">
        <w:rPr>
          <w:rFonts w:ascii="Times New Roman" w:hAnsi="Times New Roman" w:cs="Times New Roman"/>
          <w:u w:val="single"/>
        </w:rPr>
        <w:tab/>
        <w:t xml:space="preserve">L’integrazione negativa in materia di stabilimento </w:t>
      </w:r>
    </w:p>
    <w:p w14:paraId="385A8CC3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2.1</w:t>
      </w:r>
      <w:r w:rsidRPr="00D12CC4">
        <w:rPr>
          <w:rFonts w:ascii="Times New Roman" w:hAnsi="Times New Roman" w:cs="Times New Roman"/>
        </w:rPr>
        <w:tab/>
        <w:t xml:space="preserve">Sentenza 27 settembre 1988, causa 81/87, </w:t>
      </w:r>
      <w:proofErr w:type="spellStart"/>
      <w:r w:rsidRPr="00D12CC4">
        <w:rPr>
          <w:rFonts w:ascii="Times New Roman" w:hAnsi="Times New Roman" w:cs="Times New Roman"/>
        </w:rPr>
        <w:t>Daily</w:t>
      </w:r>
      <w:proofErr w:type="spellEnd"/>
      <w:r w:rsidRPr="00D12CC4">
        <w:rPr>
          <w:rFonts w:ascii="Times New Roman" w:hAnsi="Times New Roman" w:cs="Times New Roman"/>
        </w:rPr>
        <w:t xml:space="preserve"> Mail (p. 276)</w:t>
      </w:r>
    </w:p>
    <w:p w14:paraId="04D6F0DB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2.3</w:t>
      </w:r>
      <w:r w:rsidRPr="00D12CC4">
        <w:rPr>
          <w:rFonts w:ascii="Times New Roman" w:hAnsi="Times New Roman" w:cs="Times New Roman"/>
        </w:rPr>
        <w:tab/>
        <w:t xml:space="preserve">Sentenza 12 luglio 1984, causa 107/83, </w:t>
      </w:r>
      <w:proofErr w:type="spellStart"/>
      <w:r w:rsidRPr="00D12CC4">
        <w:rPr>
          <w:rFonts w:ascii="Times New Roman" w:hAnsi="Times New Roman" w:cs="Times New Roman"/>
        </w:rPr>
        <w:t>Klopp</w:t>
      </w:r>
      <w:proofErr w:type="spellEnd"/>
      <w:r w:rsidRPr="00D12CC4">
        <w:rPr>
          <w:rFonts w:ascii="Times New Roman" w:hAnsi="Times New Roman" w:cs="Times New Roman"/>
        </w:rPr>
        <w:t xml:space="preserve"> (p. 278)</w:t>
      </w:r>
    </w:p>
    <w:p w14:paraId="44E2B72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  <w:r w:rsidRPr="00D12CC4">
        <w:rPr>
          <w:rFonts w:ascii="Times New Roman" w:hAnsi="Times New Roman" w:cs="Times New Roman"/>
          <w:i/>
          <w:iCs/>
        </w:rPr>
        <w:t>Capitolo 5: La libera prestazione dei servizi</w:t>
      </w:r>
    </w:p>
    <w:p w14:paraId="4898685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L’ambito applicativo della libera prestazione dei servizi </w:t>
      </w:r>
    </w:p>
    <w:p w14:paraId="19E6EAE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3.5</w:t>
      </w:r>
      <w:r w:rsidRPr="00D12CC4">
        <w:rPr>
          <w:rFonts w:ascii="Times New Roman" w:hAnsi="Times New Roman" w:cs="Times New Roman"/>
        </w:rPr>
        <w:tab/>
        <w:t xml:space="preserve">Sentenza 2 febbraio 1989, causa 186/87, </w:t>
      </w:r>
      <w:proofErr w:type="spellStart"/>
      <w:r w:rsidRPr="00D12CC4">
        <w:rPr>
          <w:rFonts w:ascii="Times New Roman" w:hAnsi="Times New Roman" w:cs="Times New Roman"/>
        </w:rPr>
        <w:t>Cowan</w:t>
      </w:r>
      <w:proofErr w:type="spellEnd"/>
      <w:r w:rsidRPr="00D12CC4">
        <w:rPr>
          <w:rFonts w:ascii="Times New Roman" w:hAnsi="Times New Roman" w:cs="Times New Roman"/>
        </w:rPr>
        <w:t xml:space="preserve"> (p. 341)</w:t>
      </w:r>
    </w:p>
    <w:p w14:paraId="4ACD9274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3.6</w:t>
      </w:r>
      <w:r w:rsidRPr="00D12CC4">
        <w:rPr>
          <w:rFonts w:ascii="Times New Roman" w:hAnsi="Times New Roman" w:cs="Times New Roman"/>
        </w:rPr>
        <w:tab/>
        <w:t xml:space="preserve">Sentenza 3 dicembre 1974, causa 33/74, van </w:t>
      </w:r>
      <w:proofErr w:type="spellStart"/>
      <w:r w:rsidRPr="00D12CC4">
        <w:rPr>
          <w:rFonts w:ascii="Times New Roman" w:hAnsi="Times New Roman" w:cs="Times New Roman"/>
        </w:rPr>
        <w:t>Binsbergen</w:t>
      </w:r>
      <w:proofErr w:type="spellEnd"/>
      <w:r w:rsidRPr="00D12CC4">
        <w:rPr>
          <w:rFonts w:ascii="Times New Roman" w:hAnsi="Times New Roman" w:cs="Times New Roman"/>
        </w:rPr>
        <w:t xml:space="preserve"> (p. 343)</w:t>
      </w:r>
    </w:p>
    <w:p w14:paraId="4B784861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3.8</w:t>
      </w:r>
      <w:r w:rsidRPr="00D12CC4">
        <w:rPr>
          <w:rFonts w:ascii="Times New Roman" w:hAnsi="Times New Roman" w:cs="Times New Roman"/>
        </w:rPr>
        <w:tab/>
        <w:t>Sentenza 26 febbraio 1991, causa C-198/89, Comm. c. Grecia (guide turistiche) (p. 344)</w:t>
      </w:r>
    </w:p>
    <w:p w14:paraId="607D7BB7" w14:textId="77777777" w:rsidR="00ED421B" w:rsidRPr="00D12CC4" w:rsidRDefault="008E5D8A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D12CC4">
        <w:rPr>
          <w:rFonts w:ascii="Times New Roman" w:hAnsi="Times New Roman" w:cs="Times New Roman"/>
          <w:b/>
          <w:bCs/>
          <w:i/>
          <w:iCs/>
          <w:sz w:val="18"/>
          <w:szCs w:val="18"/>
        </w:rPr>
        <w:t>AVVERTENZE E PREREQUISITI</w:t>
      </w:r>
    </w:p>
    <w:p w14:paraId="49000A73" w14:textId="77777777" w:rsidR="00ED421B" w:rsidRPr="00D12CC4" w:rsidRDefault="008E5D8A">
      <w:pPr>
        <w:tabs>
          <w:tab w:val="clear" w:pos="284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i/>
          <w:iCs/>
          <w:sz w:val="18"/>
          <w:szCs w:val="18"/>
        </w:rPr>
        <w:t>Avvertenze</w:t>
      </w:r>
    </w:p>
    <w:p w14:paraId="219DB7FE" w14:textId="77777777" w:rsidR="00ED421B" w:rsidRPr="00D12CC4" w:rsidRDefault="008E5D8A">
      <w:pPr>
        <w:tabs>
          <w:tab w:val="clear" w:pos="284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Alla luce del metodo didattico impiegato, ossia di lezioni frontali in Aula basate non solo sull’inquadramento teorico ma anche sulla discussione di sentenze sotto la guida del docente e di aspetti pratici di diritto doganale, si consiglia la frequenza delle lezioni.</w:t>
      </w:r>
    </w:p>
    <w:p w14:paraId="3AA8596D" w14:textId="77777777" w:rsidR="00ED421B" w:rsidRPr="00D12CC4" w:rsidRDefault="008E5D8A">
      <w:pPr>
        <w:tabs>
          <w:tab w:val="clear" w:pos="284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Anche in mancanza di frequenza, comunque, il volume oggetto di studio fornisce una trattazione completa della materia. Il titolare dell’insegnamento è a disposizione per eventuali chiarimenti per chi non abbia potuto frequentare.</w:t>
      </w:r>
    </w:p>
    <w:p w14:paraId="677B6F61" w14:textId="77777777" w:rsidR="00ED421B" w:rsidRPr="00D12CC4" w:rsidRDefault="00ED421B">
      <w:pPr>
        <w:tabs>
          <w:tab w:val="clear" w:pos="284"/>
        </w:tabs>
        <w:spacing w:line="220" w:lineRule="exact"/>
        <w:ind w:firstLine="284"/>
        <w:rPr>
          <w:rFonts w:ascii="Times New Roman" w:hAnsi="Times New Roman" w:cs="Times New Roman"/>
          <w:i/>
          <w:iCs/>
          <w:sz w:val="18"/>
          <w:szCs w:val="18"/>
        </w:rPr>
      </w:pPr>
    </w:p>
    <w:p w14:paraId="056CD2B4" w14:textId="77777777" w:rsidR="00ED421B" w:rsidRPr="00D12CC4" w:rsidRDefault="008E5D8A">
      <w:pPr>
        <w:tabs>
          <w:tab w:val="clear" w:pos="284"/>
        </w:tabs>
        <w:ind w:firstLine="284"/>
        <w:rPr>
          <w:rFonts w:ascii="Times New Roman" w:hAnsi="Times New Roman" w:cs="Times New Roman"/>
          <w:i/>
          <w:iCs/>
          <w:sz w:val="18"/>
          <w:szCs w:val="18"/>
        </w:rPr>
      </w:pPr>
      <w:r w:rsidRPr="00D12CC4">
        <w:rPr>
          <w:rFonts w:ascii="Times New Roman" w:hAnsi="Times New Roman" w:cs="Times New Roman"/>
          <w:i/>
          <w:iCs/>
          <w:sz w:val="18"/>
          <w:szCs w:val="18"/>
        </w:rPr>
        <w:t>Prerequisiti</w:t>
      </w:r>
    </w:p>
    <w:p w14:paraId="7996022F" w14:textId="3DB9FC74" w:rsidR="374311E3" w:rsidRPr="006C29CD" w:rsidRDefault="008E5D8A" w:rsidP="006C29CD">
      <w:pPr>
        <w:tabs>
          <w:tab w:val="clear" w:pos="284"/>
        </w:tabs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 xml:space="preserve">Non è necessaria una formazione preliminare su temi giuridici di base e affini. E’ certamente utile, ma non indispensabile, la conoscenza dei caratteri fondamentali del diritto dell’UE e una familiarità di base con il linguaggio giuridico. I materiali consultati a lezione saranno in parte in lingua inglese, quindi per i frequentanti è auspicabile un’adeguata capacità di comprensione di testi complessi in tale lingua; in ogni caso le spiegazioni in aula o </w:t>
      </w:r>
      <w:r w:rsidRPr="00D12CC4">
        <w:rPr>
          <w:rFonts w:ascii="Times New Roman" w:hAnsi="Times New Roman" w:cs="Times New Roman"/>
          <w:sz w:val="18"/>
          <w:szCs w:val="18"/>
        </w:rPr>
        <w:lastRenderedPageBreak/>
        <w:t>chiarimenti al di fuori delle lezioni potranno supplire ad eventuali difficoltà di comprensione linguistica.</w:t>
      </w:r>
    </w:p>
    <w:p w14:paraId="7279C54C" w14:textId="21C318EC" w:rsidR="374311E3" w:rsidRDefault="374311E3" w:rsidP="374311E3">
      <w:pPr>
        <w:tabs>
          <w:tab w:val="clear" w:pos="284"/>
        </w:tabs>
        <w:rPr>
          <w:color w:val="000000" w:themeColor="text1"/>
          <w:sz w:val="18"/>
          <w:szCs w:val="18"/>
        </w:rPr>
      </w:pPr>
    </w:p>
    <w:p w14:paraId="16E70BC9" w14:textId="77777777" w:rsidR="00ED421B" w:rsidRPr="00D12CC4" w:rsidRDefault="008E5D8A">
      <w:pPr>
        <w:tabs>
          <w:tab w:val="clear" w:pos="284"/>
        </w:tabs>
        <w:spacing w:after="1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12CC4">
        <w:rPr>
          <w:rFonts w:ascii="Times New Roman" w:hAnsi="Times New Roman" w:cs="Times New Roman"/>
          <w:i/>
          <w:iCs/>
          <w:sz w:val="18"/>
          <w:szCs w:val="18"/>
        </w:rPr>
        <w:t>Orario e luogo di ricevimento degli studenti</w:t>
      </w:r>
    </w:p>
    <w:p w14:paraId="38BBCB34" w14:textId="03B64475" w:rsidR="00ED421B" w:rsidRPr="00D12CC4" w:rsidRDefault="008E5D8A">
      <w:pPr>
        <w:tabs>
          <w:tab w:val="clear" w:pos="284"/>
        </w:tabs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 xml:space="preserve">Orario e luogo di ricevimento degli studenti: su appuntamento via </w:t>
      </w:r>
      <w:r w:rsidR="006C29CD" w:rsidRPr="00D12CC4">
        <w:rPr>
          <w:rFonts w:ascii="Times New Roman" w:hAnsi="Times New Roman" w:cs="Times New Roman"/>
          <w:sz w:val="18"/>
          <w:szCs w:val="18"/>
        </w:rPr>
        <w:t>e-mail</w:t>
      </w:r>
      <w:r w:rsidRPr="00D12CC4">
        <w:rPr>
          <w:rFonts w:ascii="Times New Roman" w:hAnsi="Times New Roman" w:cs="Times New Roman"/>
          <w:sz w:val="18"/>
          <w:szCs w:val="18"/>
        </w:rPr>
        <w:t xml:space="preserve"> con la docente o all’uscita delle lezioni.</w:t>
      </w:r>
    </w:p>
    <w:p w14:paraId="176F51AD" w14:textId="77777777" w:rsidR="00ED421B" w:rsidRPr="00D12CC4" w:rsidRDefault="00ED421B">
      <w:pPr>
        <w:tabs>
          <w:tab w:val="clear" w:pos="284"/>
        </w:tabs>
        <w:spacing w:line="220" w:lineRule="exact"/>
        <w:ind w:firstLine="284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49D0DC6" w14:textId="77777777" w:rsidR="00ED421B" w:rsidRDefault="00ED421B">
      <w:pPr>
        <w:tabs>
          <w:tab w:val="clear" w:pos="284"/>
        </w:tabs>
        <w:spacing w:line="220" w:lineRule="exact"/>
        <w:ind w:firstLine="284"/>
        <w:rPr>
          <w:rFonts w:ascii="Times New Roman" w:eastAsia="Times New Roman" w:hAnsi="Times New Roman" w:cs="Times New Roman"/>
          <w:i/>
          <w:iCs/>
        </w:rPr>
      </w:pPr>
    </w:p>
    <w:p w14:paraId="38263A0D" w14:textId="77777777" w:rsidR="00ED421B" w:rsidRDefault="00ED421B">
      <w:pPr>
        <w:pStyle w:val="Testo2"/>
        <w:rPr>
          <w:sz w:val="20"/>
          <w:szCs w:val="20"/>
        </w:rPr>
      </w:pPr>
    </w:p>
    <w:p w14:paraId="2D8DC563" w14:textId="77777777" w:rsidR="00ED421B" w:rsidRDefault="00ED421B">
      <w:pPr>
        <w:pStyle w:val="Testo2"/>
      </w:pPr>
    </w:p>
    <w:p w14:paraId="32DA3770" w14:textId="77777777" w:rsidR="00ED421B" w:rsidRDefault="00ED421B">
      <w:pPr>
        <w:pStyle w:val="Testo2"/>
      </w:pPr>
    </w:p>
    <w:p w14:paraId="788DA0AC" w14:textId="77777777" w:rsidR="00ED421B" w:rsidRDefault="00ED421B">
      <w:pPr>
        <w:pStyle w:val="Testo1"/>
      </w:pPr>
    </w:p>
    <w:p w14:paraId="6C59D048" w14:textId="77777777" w:rsidR="00ED421B" w:rsidRDefault="00ED421B">
      <w:pPr>
        <w:keepNext/>
      </w:pPr>
    </w:p>
    <w:p w14:paraId="4C984647" w14:textId="77777777" w:rsidR="00ED421B" w:rsidRDefault="00ED421B">
      <w:pPr>
        <w:spacing w:before="240" w:after="120"/>
        <w:rPr>
          <w:b/>
          <w:bCs/>
          <w:sz w:val="18"/>
          <w:szCs w:val="18"/>
        </w:rPr>
      </w:pPr>
    </w:p>
    <w:p w14:paraId="08CCEFD5" w14:textId="77777777" w:rsidR="00ED421B" w:rsidRDefault="00ED421B"/>
    <w:sectPr w:rsidR="00ED421B">
      <w:headerReference w:type="default" r:id="rId9"/>
      <w:footerReference w:type="default" r:id="rId10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7B4BE" w14:textId="77777777" w:rsidR="00735A74" w:rsidRDefault="00735A74">
      <w:pPr>
        <w:spacing w:line="240" w:lineRule="auto"/>
      </w:pPr>
      <w:r>
        <w:separator/>
      </w:r>
    </w:p>
  </w:endnote>
  <w:endnote w:type="continuationSeparator" w:id="0">
    <w:p w14:paraId="7DE45363" w14:textId="77777777" w:rsidR="00735A74" w:rsidRDefault="00735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FB6C" w14:textId="77777777" w:rsidR="00ED421B" w:rsidRDefault="00ED421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7048" w14:textId="77777777" w:rsidR="00735A74" w:rsidRDefault="00735A74">
      <w:pPr>
        <w:spacing w:line="240" w:lineRule="auto"/>
      </w:pPr>
      <w:r>
        <w:separator/>
      </w:r>
    </w:p>
  </w:footnote>
  <w:footnote w:type="continuationSeparator" w:id="0">
    <w:p w14:paraId="217BF11F" w14:textId="77777777" w:rsidR="00735A74" w:rsidRDefault="00735A74">
      <w:pPr>
        <w:spacing w:line="240" w:lineRule="auto"/>
      </w:pPr>
      <w:r>
        <w:continuationSeparator/>
      </w:r>
    </w:p>
  </w:footnote>
  <w:footnote w:id="1">
    <w:p w14:paraId="74E2CCCF" w14:textId="77777777" w:rsidR="002B7B4F" w:rsidRDefault="002B7B4F">
      <w:pPr>
        <w:pStyle w:val="Testonotaapidipagina"/>
      </w:pPr>
      <w:r w:rsidRPr="00D12CC4">
        <w:rPr>
          <w:rStyle w:val="Rimandonotaapidipagina"/>
          <w:rFonts w:hint="eastAsia"/>
          <w:sz w:val="18"/>
          <w:szCs w:val="18"/>
        </w:rPr>
        <w:footnoteRef/>
      </w:r>
      <w:r w:rsidRPr="00D12CC4">
        <w:rPr>
          <w:rFonts w:hint="eastAsia"/>
          <w:sz w:val="18"/>
          <w:szCs w:val="18"/>
        </w:rPr>
        <w:t xml:space="preserve"> I testi indicati nella bibliografia sono acquistabili presso le librerie di Ateneo; è possibile acquistarli 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04D79" w14:textId="77777777" w:rsidR="00ED421B" w:rsidRDefault="00ED421B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6389"/>
    <w:multiLevelType w:val="hybridMultilevel"/>
    <w:tmpl w:val="8B68A928"/>
    <w:styleLink w:val="Stileimportato2"/>
    <w:lvl w:ilvl="0" w:tplc="F2AC3EC2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51A2092">
      <w:start w:val="1"/>
      <w:numFmt w:val="bullet"/>
      <w:lvlText w:val="-"/>
      <w:lvlJc w:val="left"/>
      <w:pPr>
        <w:ind w:left="10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E76D4FC">
      <w:start w:val="1"/>
      <w:numFmt w:val="bullet"/>
      <w:lvlText w:val="-"/>
      <w:lvlJc w:val="left"/>
      <w:pPr>
        <w:ind w:left="18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456215BE">
      <w:start w:val="1"/>
      <w:numFmt w:val="bullet"/>
      <w:lvlText w:val="-"/>
      <w:lvlJc w:val="left"/>
      <w:pPr>
        <w:ind w:left="25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691A7DA6">
      <w:start w:val="1"/>
      <w:numFmt w:val="bullet"/>
      <w:lvlText w:val="-"/>
      <w:lvlJc w:val="left"/>
      <w:pPr>
        <w:ind w:left="32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F108897A">
      <w:start w:val="1"/>
      <w:numFmt w:val="bullet"/>
      <w:lvlText w:val="-"/>
      <w:lvlJc w:val="left"/>
      <w:pPr>
        <w:ind w:left="39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B052B504">
      <w:start w:val="1"/>
      <w:numFmt w:val="bullet"/>
      <w:lvlText w:val="-"/>
      <w:lvlJc w:val="left"/>
      <w:pPr>
        <w:ind w:left="46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D64A82DA">
      <w:start w:val="1"/>
      <w:numFmt w:val="bullet"/>
      <w:lvlText w:val="-"/>
      <w:lvlJc w:val="left"/>
      <w:pPr>
        <w:ind w:left="54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62CEF684">
      <w:start w:val="1"/>
      <w:numFmt w:val="bullet"/>
      <w:lvlText w:val="-"/>
      <w:lvlJc w:val="left"/>
      <w:pPr>
        <w:ind w:left="61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 w15:restartNumberingAfterBreak="0">
    <w:nsid w:val="1CAE049B"/>
    <w:multiLevelType w:val="hybridMultilevel"/>
    <w:tmpl w:val="B51227F0"/>
    <w:numStyleLink w:val="Puntielenco"/>
  </w:abstractNum>
  <w:abstractNum w:abstractNumId="2" w15:restartNumberingAfterBreak="0">
    <w:nsid w:val="32CA2A92"/>
    <w:multiLevelType w:val="hybridMultilevel"/>
    <w:tmpl w:val="8B68A928"/>
    <w:numStyleLink w:val="Stileimportato2"/>
  </w:abstractNum>
  <w:abstractNum w:abstractNumId="3" w15:restartNumberingAfterBreak="0">
    <w:nsid w:val="53232717"/>
    <w:multiLevelType w:val="hybridMultilevel"/>
    <w:tmpl w:val="AE0EEC5C"/>
    <w:numStyleLink w:val="Stileimportato3"/>
  </w:abstractNum>
  <w:abstractNum w:abstractNumId="4" w15:restartNumberingAfterBreak="0">
    <w:nsid w:val="5C794507"/>
    <w:multiLevelType w:val="hybridMultilevel"/>
    <w:tmpl w:val="B51227F0"/>
    <w:styleLink w:val="Puntielenco"/>
    <w:lvl w:ilvl="0" w:tplc="995E5ABA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68A288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1CD336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4C0DD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A074B6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C4314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0590C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E0918A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0273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1A3D4C"/>
    <w:multiLevelType w:val="hybridMultilevel"/>
    <w:tmpl w:val="AE0EEC5C"/>
    <w:styleLink w:val="Stileimportato3"/>
    <w:lvl w:ilvl="0" w:tplc="4B30CDCE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E64EC2E0">
      <w:start w:val="1"/>
      <w:numFmt w:val="bullet"/>
      <w:lvlText w:val="-"/>
      <w:lvlJc w:val="left"/>
      <w:pPr>
        <w:ind w:left="10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8D72CA6A">
      <w:start w:val="1"/>
      <w:numFmt w:val="bullet"/>
      <w:lvlText w:val="-"/>
      <w:lvlJc w:val="left"/>
      <w:pPr>
        <w:ind w:left="18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C4662DBA">
      <w:start w:val="1"/>
      <w:numFmt w:val="bullet"/>
      <w:lvlText w:val="-"/>
      <w:lvlJc w:val="left"/>
      <w:pPr>
        <w:ind w:left="25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C180F372">
      <w:start w:val="1"/>
      <w:numFmt w:val="bullet"/>
      <w:lvlText w:val="-"/>
      <w:lvlJc w:val="left"/>
      <w:pPr>
        <w:ind w:left="32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E306F118">
      <w:start w:val="1"/>
      <w:numFmt w:val="bullet"/>
      <w:lvlText w:val="-"/>
      <w:lvlJc w:val="left"/>
      <w:pPr>
        <w:ind w:left="39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EB585580">
      <w:start w:val="1"/>
      <w:numFmt w:val="bullet"/>
      <w:lvlText w:val="-"/>
      <w:lvlJc w:val="left"/>
      <w:pPr>
        <w:ind w:left="46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872052D2">
      <w:start w:val="1"/>
      <w:numFmt w:val="bullet"/>
      <w:lvlText w:val="-"/>
      <w:lvlJc w:val="left"/>
      <w:pPr>
        <w:ind w:left="54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BA9EB816">
      <w:start w:val="1"/>
      <w:numFmt w:val="bullet"/>
      <w:lvlText w:val="-"/>
      <w:lvlJc w:val="left"/>
      <w:pPr>
        <w:ind w:left="61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1B"/>
    <w:rsid w:val="000E106D"/>
    <w:rsid w:val="002B7B4F"/>
    <w:rsid w:val="002E03F4"/>
    <w:rsid w:val="0067604A"/>
    <w:rsid w:val="006C29CD"/>
    <w:rsid w:val="00735A74"/>
    <w:rsid w:val="00797DEE"/>
    <w:rsid w:val="008E5D8A"/>
    <w:rsid w:val="00C075EB"/>
    <w:rsid w:val="00D12CC4"/>
    <w:rsid w:val="00E3041D"/>
    <w:rsid w:val="00ED421B"/>
    <w:rsid w:val="159968BB"/>
    <w:rsid w:val="304A79F9"/>
    <w:rsid w:val="3743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9A6B"/>
  <w15:docId w15:val="{0506C3FD-8D6A-4126-A7EC-3287EF39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eastAsia="Times Roman" w:hAnsi="Times Roman" w:cs="Times Roman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7B4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7B4F"/>
    <w:rPr>
      <w:rFonts w:ascii="Times Roman" w:hAnsi="Times Roman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7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medeo-arena-francesco-bestagno-giulia-rossolillo/mercato-unico-e-liberta-di-circolazione-nellunione-europea-9788892133341-68316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4601-EAE5-45C0-9F47-B65207A7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2113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Guizzon</dc:creator>
  <cp:lastModifiedBy>Magatelli Matteo</cp:lastModifiedBy>
  <cp:revision>6</cp:revision>
  <dcterms:created xsi:type="dcterms:W3CDTF">2021-05-31T09:27:00Z</dcterms:created>
  <dcterms:modified xsi:type="dcterms:W3CDTF">2022-02-14T16:21:00Z</dcterms:modified>
</cp:coreProperties>
</file>