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7C25F" w14:textId="77777777" w:rsidR="009C29C6" w:rsidRPr="005A03D2" w:rsidRDefault="00A51CF1">
      <w:pPr>
        <w:pStyle w:val="Titolo1"/>
      </w:pPr>
      <w:r w:rsidRPr="005A03D2">
        <w:t>Archeologia medievale</w:t>
      </w:r>
    </w:p>
    <w:p w14:paraId="46987048" w14:textId="77777777" w:rsidR="00A51CF1" w:rsidRPr="005A03D2" w:rsidRDefault="00A51CF1" w:rsidP="00A51CF1">
      <w:pPr>
        <w:pStyle w:val="Titolo2"/>
      </w:pPr>
      <w:r w:rsidRPr="005A03D2">
        <w:t>Prof. Marco Sannazaro</w:t>
      </w:r>
    </w:p>
    <w:p w14:paraId="611855B8" w14:textId="77777777" w:rsidR="00A51CF1" w:rsidRPr="005A03D2" w:rsidRDefault="00A51CF1" w:rsidP="00A51CF1">
      <w:pPr>
        <w:spacing w:before="240" w:after="120"/>
        <w:rPr>
          <w:b/>
          <w:sz w:val="18"/>
        </w:rPr>
      </w:pPr>
      <w:r w:rsidRPr="005A03D2">
        <w:rPr>
          <w:b/>
          <w:i/>
          <w:sz w:val="18"/>
        </w:rPr>
        <w:t>OBIETTIVO DEL CORSO E RISULTATI DI APPRENDIMENTO ATTESI</w:t>
      </w:r>
    </w:p>
    <w:p w14:paraId="6AD8BFE1" w14:textId="77777777" w:rsidR="005A03D2" w:rsidRPr="005A03D2" w:rsidRDefault="005A03D2" w:rsidP="005A03D2">
      <w:pPr>
        <w:spacing w:before="240" w:after="120"/>
        <w:rPr>
          <w:bCs/>
        </w:rPr>
      </w:pPr>
      <w:r w:rsidRPr="005A03D2">
        <w:rPr>
          <w:bCs/>
        </w:rPr>
        <w:t>L’insegnamento si propone di introdurre alle problematiche affrontate dalla disciplina, alle sue metodologie specifiche e alle principali acquisizioni degli ultimi decenni.</w:t>
      </w:r>
    </w:p>
    <w:p w14:paraId="1845FBD9" w14:textId="77777777" w:rsidR="005A03D2" w:rsidRPr="005A03D2" w:rsidRDefault="005A03D2" w:rsidP="005A03D2">
      <w:pPr>
        <w:spacing w:before="240" w:after="120"/>
        <w:rPr>
          <w:bCs/>
        </w:rPr>
      </w:pPr>
      <w:r w:rsidRPr="005A03D2">
        <w:rPr>
          <w:bCs/>
        </w:rPr>
        <w:t xml:space="preserve">Lo studente potrà quindi acquisire competenze di base sulle attuali procedure di indagine </w:t>
      </w:r>
      <w:proofErr w:type="gramStart"/>
      <w:r w:rsidRPr="005A03D2">
        <w:rPr>
          <w:bCs/>
        </w:rPr>
        <w:t>archeologica;  assimilare</w:t>
      </w:r>
      <w:proofErr w:type="gramEnd"/>
      <w:r w:rsidRPr="005A03D2">
        <w:rPr>
          <w:bCs/>
        </w:rPr>
        <w:t xml:space="preserve"> contenuti utili alla ricostruzione della storia medievale soprattutto nella prospettiva specifica della cultura materiale; riflettere criticamente sulla valorizzazione dei Beni archeologici a partire da ricerche di questo tipo.  </w:t>
      </w:r>
    </w:p>
    <w:p w14:paraId="384E4C3F" w14:textId="77777777" w:rsidR="00A51CF1" w:rsidRPr="005A03D2" w:rsidRDefault="00A51CF1" w:rsidP="00A51CF1">
      <w:pPr>
        <w:spacing w:before="240" w:after="120"/>
        <w:rPr>
          <w:b/>
          <w:sz w:val="18"/>
        </w:rPr>
      </w:pPr>
      <w:r w:rsidRPr="005A03D2">
        <w:rPr>
          <w:b/>
          <w:i/>
          <w:sz w:val="18"/>
        </w:rPr>
        <w:t>PROGRAMMA DEL CORSO</w:t>
      </w:r>
    </w:p>
    <w:p w14:paraId="5C1E78DD" w14:textId="77777777" w:rsidR="005A03D2" w:rsidRPr="005A03D2" w:rsidRDefault="005A03D2" w:rsidP="005A03D2">
      <w:pPr>
        <w:keepNext/>
        <w:spacing w:before="120"/>
        <w:rPr>
          <w:bCs/>
        </w:rPr>
      </w:pPr>
      <w:r w:rsidRPr="005A03D2">
        <w:rPr>
          <w:bCs/>
        </w:rPr>
        <w:t>I modulo. Corso istituzionale (</w:t>
      </w:r>
      <w:r w:rsidRPr="005A03D2">
        <w:rPr>
          <w:bCs/>
          <w:i/>
        </w:rPr>
        <w:t>Archeologia medievale: metodi e contenuti</w:t>
      </w:r>
      <w:r w:rsidRPr="005A03D2">
        <w:rPr>
          <w:bCs/>
        </w:rPr>
        <w:t>)</w:t>
      </w:r>
      <w:r w:rsidRPr="005A03D2">
        <w:rPr>
          <w:bCs/>
          <w:i/>
        </w:rPr>
        <w:t>.</w:t>
      </w:r>
    </w:p>
    <w:p w14:paraId="180F8F3A" w14:textId="77777777" w:rsidR="005A03D2" w:rsidRPr="005A03D2" w:rsidRDefault="005A03D2" w:rsidP="005A03D2">
      <w:pPr>
        <w:keepNext/>
        <w:spacing w:before="120"/>
        <w:rPr>
          <w:bCs/>
        </w:rPr>
      </w:pPr>
      <w:r w:rsidRPr="005A03D2">
        <w:rPr>
          <w:bCs/>
        </w:rPr>
        <w:t xml:space="preserve">Gli argomenti trattati nelle lezioni presenteranno la storia e le caratteristiche metodologiche della disciplina, affronteranno le principali tematiche oggetto di ricerca e discussione negli ultimi </w:t>
      </w:r>
      <w:proofErr w:type="gramStart"/>
      <w:r w:rsidRPr="005A03D2">
        <w:rPr>
          <w:bCs/>
        </w:rPr>
        <w:t>anni  (</w:t>
      </w:r>
      <w:proofErr w:type="gramEnd"/>
      <w:r w:rsidRPr="005A03D2">
        <w:rPr>
          <w:bCs/>
        </w:rPr>
        <w:t xml:space="preserve">città e trasformazioni urbanistiche dall’età romana al pieno medioevo; caratteri della presenza longobarda in Italia; </w:t>
      </w:r>
      <w:proofErr w:type="spellStart"/>
      <w:r w:rsidRPr="005A03D2">
        <w:rPr>
          <w:bCs/>
        </w:rPr>
        <w:t>apetti</w:t>
      </w:r>
      <w:proofErr w:type="spellEnd"/>
      <w:r w:rsidRPr="005A03D2">
        <w:rPr>
          <w:bCs/>
        </w:rPr>
        <w:t xml:space="preserve"> dell’insediamento rurale; produzioni, commerci e consumi). Le ricche testimonianze archeologiche di Brescia e del suo territorio offriranno opportunità di esemplificazione e approfondimento.</w:t>
      </w:r>
    </w:p>
    <w:p w14:paraId="27F66EDA" w14:textId="77777777" w:rsidR="005A03D2" w:rsidRPr="005A03D2" w:rsidRDefault="005A03D2" w:rsidP="005A03D2">
      <w:pPr>
        <w:keepNext/>
        <w:spacing w:before="120"/>
        <w:rPr>
          <w:bCs/>
        </w:rPr>
      </w:pPr>
    </w:p>
    <w:p w14:paraId="34075F50" w14:textId="77777777" w:rsidR="005A03D2" w:rsidRPr="005A03D2" w:rsidRDefault="005A03D2" w:rsidP="005A03D2">
      <w:pPr>
        <w:keepNext/>
        <w:spacing w:before="120"/>
        <w:rPr>
          <w:bCs/>
        </w:rPr>
      </w:pPr>
      <w:r w:rsidRPr="005A03D2">
        <w:rPr>
          <w:bCs/>
        </w:rPr>
        <w:t>II modulo. Corso monografico (</w:t>
      </w:r>
      <w:r w:rsidRPr="005A03D2">
        <w:rPr>
          <w:bCs/>
          <w:i/>
          <w:iCs/>
        </w:rPr>
        <w:t>I gruppi episcopali in età paleocristiana e altomedievale: articolazione e funzioni</w:t>
      </w:r>
      <w:r w:rsidRPr="005A03D2">
        <w:rPr>
          <w:bCs/>
        </w:rPr>
        <w:t>).</w:t>
      </w:r>
    </w:p>
    <w:p w14:paraId="19E049CB" w14:textId="77777777" w:rsidR="005A03D2" w:rsidRPr="005A03D2" w:rsidRDefault="005A03D2" w:rsidP="005A03D2">
      <w:pPr>
        <w:keepNext/>
        <w:spacing w:before="120"/>
        <w:rPr>
          <w:bCs/>
        </w:rPr>
      </w:pPr>
      <w:r w:rsidRPr="005A03D2">
        <w:rPr>
          <w:bCs/>
        </w:rPr>
        <w:t xml:space="preserve">L’interesse per la cristianizzazione delle città tardoantiche e per la ricaduta urbanistica di tale fenomeno è al centro degli interessi degli studiosi di archeologia cristiana e medievale da più di un trentennio e ha determinato acquisizioni assai importanti sul rapporto tra gli edifici di culto e il tessuto insediativo entro il quale si inseriscono, in particolar modo per quanto concerne i complessi episcopali. Negli ultimi anni il riesame approfondito di vecchie indagini e nuove campagne di scavo </w:t>
      </w:r>
      <w:r w:rsidRPr="005A03D2">
        <w:rPr>
          <w:bCs/>
        </w:rPr>
        <w:lastRenderedPageBreak/>
        <w:t xml:space="preserve">entro e presso le cattedrali di molte città ha potuto riconoscere la complessa articolazione dei gruppi episcopali originari e i successivi sviluppi. </w:t>
      </w:r>
    </w:p>
    <w:p w14:paraId="4C7BC065" w14:textId="77777777" w:rsidR="005A03D2" w:rsidRPr="005A03D2" w:rsidRDefault="005A03D2" w:rsidP="005A03D2">
      <w:pPr>
        <w:keepNext/>
        <w:spacing w:before="120"/>
        <w:rPr>
          <w:bCs/>
        </w:rPr>
      </w:pPr>
      <w:r w:rsidRPr="005A03D2">
        <w:rPr>
          <w:bCs/>
        </w:rPr>
        <w:t xml:space="preserve">Partendo dall’esame di casi emblematici, oggetto anche di pubblicazioni recenti (Ginevra, Aquileia, Milano) e prendendo in considerazione altri contesti urbani dell’Italia settentrionale (in particolare </w:t>
      </w:r>
      <w:proofErr w:type="gramStart"/>
      <w:r w:rsidRPr="005A03D2">
        <w:rPr>
          <w:bCs/>
        </w:rPr>
        <w:t>Brescia,  Bergamo</w:t>
      </w:r>
      <w:proofErr w:type="gramEnd"/>
      <w:r w:rsidRPr="005A03D2">
        <w:rPr>
          <w:bCs/>
        </w:rPr>
        <w:t xml:space="preserve"> e Trento), il corso intende soffermarsi sugli aspetti topografici, architettonici, archeologici, rituali e liturgici che caratterizzano tali complessi,  sfruttando anche la possibilità di prendere diretta visione dei monumenti ancora conservati.  </w:t>
      </w:r>
    </w:p>
    <w:p w14:paraId="2A310281" w14:textId="77777777" w:rsidR="00A51CF1" w:rsidRPr="005A03D2" w:rsidRDefault="00A51CF1" w:rsidP="00A51CF1">
      <w:pPr>
        <w:keepNext/>
        <w:spacing w:before="120"/>
        <w:rPr>
          <w:b/>
          <w:i/>
          <w:sz w:val="18"/>
        </w:rPr>
      </w:pPr>
      <w:r w:rsidRPr="005A03D2">
        <w:rPr>
          <w:b/>
          <w:i/>
          <w:sz w:val="18"/>
        </w:rPr>
        <w:t>BIBLIOGRAFIA</w:t>
      </w:r>
    </w:p>
    <w:p w14:paraId="2E34ED83" w14:textId="3D2C61A2" w:rsidR="00342DE9" w:rsidRPr="00342DE9" w:rsidRDefault="00A51CF1" w:rsidP="00342DE9">
      <w:pPr>
        <w:keepNext/>
        <w:spacing w:before="120"/>
        <w:rPr>
          <w:sz w:val="18"/>
          <w:u w:val="single"/>
        </w:rPr>
      </w:pPr>
      <w:r w:rsidRPr="005A03D2">
        <w:rPr>
          <w:sz w:val="18"/>
          <w:u w:val="single"/>
        </w:rPr>
        <w:t>(Ulteriore bibliografia su tematiche specifiche sarà indicata durante il corso)</w:t>
      </w:r>
    </w:p>
    <w:p w14:paraId="16C798DF" w14:textId="77777777" w:rsidR="00342DE9" w:rsidRDefault="00342DE9" w:rsidP="00342DE9">
      <w:pPr>
        <w:spacing w:line="240" w:lineRule="atLeast"/>
        <w:rPr>
          <w:rFonts w:ascii="Times New Roman" w:hAnsi="Times New Roman"/>
        </w:rPr>
      </w:pPr>
    </w:p>
    <w:p w14:paraId="0B9C8EB6" w14:textId="71EC7168" w:rsidR="005A03D2" w:rsidRPr="005A03D2" w:rsidRDefault="005A03D2" w:rsidP="00342DE9">
      <w:pPr>
        <w:spacing w:line="240" w:lineRule="atLeast"/>
        <w:rPr>
          <w:rFonts w:ascii="Times New Roman" w:hAnsi="Times New Roman"/>
        </w:rPr>
      </w:pPr>
      <w:r w:rsidRPr="005A03D2">
        <w:rPr>
          <w:rFonts w:ascii="Times New Roman" w:hAnsi="Times New Roman"/>
        </w:rPr>
        <w:t xml:space="preserve">Per il I modulo: </w:t>
      </w:r>
    </w:p>
    <w:p w14:paraId="1F8434B7" w14:textId="4A572D50" w:rsidR="00342DE9" w:rsidRDefault="005A03D2" w:rsidP="00342DE9">
      <w:pPr>
        <w:spacing w:line="240" w:lineRule="atLeast"/>
        <w:rPr>
          <w:rFonts w:ascii="Times New Roman" w:hAnsi="Times New Roman"/>
        </w:rPr>
      </w:pPr>
      <w:r w:rsidRPr="005A03D2">
        <w:rPr>
          <w:rFonts w:ascii="Times New Roman" w:hAnsi="Times New Roman"/>
          <w:smallCaps/>
          <w:sz w:val="16"/>
        </w:rPr>
        <w:t xml:space="preserve">A. </w:t>
      </w:r>
      <w:proofErr w:type="gramStart"/>
      <w:r w:rsidRPr="005A03D2">
        <w:rPr>
          <w:rFonts w:ascii="Times New Roman" w:hAnsi="Times New Roman"/>
          <w:smallCaps/>
          <w:sz w:val="16"/>
        </w:rPr>
        <w:t>Augenti,</w:t>
      </w:r>
      <w:r w:rsidRPr="005A03D2">
        <w:rPr>
          <w:rFonts w:ascii="Times New Roman" w:hAnsi="Times New Roman"/>
        </w:rPr>
        <w:t xml:space="preserve">  </w:t>
      </w:r>
      <w:r w:rsidRPr="005A03D2">
        <w:rPr>
          <w:rFonts w:ascii="Times New Roman" w:hAnsi="Times New Roman"/>
          <w:i/>
          <w:iCs/>
          <w:sz w:val="18"/>
          <w:szCs w:val="18"/>
        </w:rPr>
        <w:t>Archeologia</w:t>
      </w:r>
      <w:proofErr w:type="gramEnd"/>
      <w:r w:rsidRPr="005A03D2">
        <w:rPr>
          <w:rFonts w:ascii="Times New Roman" w:hAnsi="Times New Roman"/>
          <w:i/>
          <w:iCs/>
          <w:sz w:val="18"/>
          <w:szCs w:val="18"/>
        </w:rPr>
        <w:t xml:space="preserve"> dell’Italia medievale</w:t>
      </w:r>
      <w:r w:rsidRPr="005A03D2">
        <w:rPr>
          <w:rFonts w:ascii="Times New Roman" w:hAnsi="Times New Roman"/>
          <w:sz w:val="18"/>
          <w:szCs w:val="18"/>
        </w:rPr>
        <w:t>, Laterza, Roma-Bari 2016.</w:t>
      </w:r>
      <w:r w:rsidRPr="005A03D2">
        <w:rPr>
          <w:rFonts w:ascii="Times New Roman" w:hAnsi="Times New Roman"/>
        </w:rPr>
        <w:t xml:space="preserve"> </w:t>
      </w:r>
      <w:hyperlink r:id="rId5" w:history="1">
        <w:r w:rsidR="008130C7" w:rsidRPr="008130C7">
          <w:rPr>
            <w:rStyle w:val="Collegamentoipertestuale"/>
            <w:rFonts w:ascii="Times New Roman" w:hAnsi="Times New Roman"/>
          </w:rPr>
          <w:t>Acquista da V&amp;P</w:t>
        </w:r>
      </w:hyperlink>
    </w:p>
    <w:p w14:paraId="24E4A075" w14:textId="77777777" w:rsidR="00342DE9" w:rsidRDefault="00342DE9" w:rsidP="00342DE9">
      <w:pPr>
        <w:spacing w:line="240" w:lineRule="atLeast"/>
        <w:rPr>
          <w:rFonts w:ascii="Times New Roman" w:hAnsi="Times New Roman"/>
        </w:rPr>
      </w:pPr>
    </w:p>
    <w:p w14:paraId="2F5A80D3" w14:textId="6AAA5DFD" w:rsidR="005A03D2" w:rsidRPr="005A03D2" w:rsidRDefault="005A03D2" w:rsidP="00342DE9">
      <w:pPr>
        <w:spacing w:line="240" w:lineRule="atLeast"/>
        <w:rPr>
          <w:rFonts w:ascii="Times New Roman" w:hAnsi="Times New Roman"/>
        </w:rPr>
      </w:pPr>
      <w:r w:rsidRPr="005A03D2">
        <w:rPr>
          <w:rFonts w:ascii="Times New Roman" w:hAnsi="Times New Roman"/>
        </w:rPr>
        <w:t>Per il II modulo:</w:t>
      </w:r>
    </w:p>
    <w:p w14:paraId="3E0CE1F0" w14:textId="551FD49D" w:rsidR="005A03D2" w:rsidRPr="005A03D2" w:rsidRDefault="005A03D2" w:rsidP="00342DE9">
      <w:pPr>
        <w:spacing w:line="240" w:lineRule="atLeast"/>
        <w:rPr>
          <w:rFonts w:ascii="Times New Roman" w:hAnsi="Times New Roman"/>
        </w:rPr>
      </w:pPr>
      <w:r w:rsidRPr="005A03D2">
        <w:rPr>
          <w:rFonts w:ascii="Times New Roman" w:hAnsi="Times New Roman"/>
          <w:iCs/>
          <w:smallCaps/>
          <w:sz w:val="16"/>
        </w:rPr>
        <w:t xml:space="preserve">A. </w:t>
      </w:r>
      <w:proofErr w:type="spellStart"/>
      <w:r w:rsidRPr="005A03D2">
        <w:rPr>
          <w:rFonts w:ascii="Times New Roman" w:hAnsi="Times New Roman"/>
          <w:iCs/>
          <w:smallCaps/>
          <w:sz w:val="16"/>
        </w:rPr>
        <w:t>Chavarría</w:t>
      </w:r>
      <w:proofErr w:type="spellEnd"/>
      <w:r w:rsidRPr="005A03D2">
        <w:rPr>
          <w:rFonts w:ascii="Times New Roman" w:hAnsi="Times New Roman"/>
          <w:iCs/>
          <w:smallCaps/>
          <w:sz w:val="16"/>
        </w:rPr>
        <w:t xml:space="preserve"> </w:t>
      </w:r>
      <w:proofErr w:type="spellStart"/>
      <w:r w:rsidRPr="005A03D2">
        <w:rPr>
          <w:rFonts w:ascii="Times New Roman" w:hAnsi="Times New Roman"/>
          <w:iCs/>
          <w:smallCaps/>
          <w:sz w:val="16"/>
        </w:rPr>
        <w:t>Arnau</w:t>
      </w:r>
      <w:proofErr w:type="spellEnd"/>
      <w:r w:rsidRPr="005A03D2">
        <w:rPr>
          <w:rFonts w:ascii="Times New Roman" w:hAnsi="Times New Roman"/>
          <w:iCs/>
        </w:rPr>
        <w:t xml:space="preserve">, </w:t>
      </w:r>
      <w:r w:rsidRPr="005A03D2">
        <w:rPr>
          <w:rFonts w:ascii="Times New Roman" w:hAnsi="Times New Roman"/>
          <w:i/>
          <w:sz w:val="18"/>
          <w:szCs w:val="18"/>
        </w:rPr>
        <w:t xml:space="preserve">Archeologia delle chiese. Dalle origini all’anno Mille, </w:t>
      </w:r>
      <w:r w:rsidRPr="005A03D2">
        <w:rPr>
          <w:rFonts w:ascii="Times New Roman" w:hAnsi="Times New Roman"/>
          <w:iCs/>
          <w:sz w:val="18"/>
          <w:szCs w:val="18"/>
        </w:rPr>
        <w:t xml:space="preserve">Carocci </w:t>
      </w:r>
      <w:proofErr w:type="gramStart"/>
      <w:r w:rsidRPr="005A03D2">
        <w:rPr>
          <w:rFonts w:ascii="Times New Roman" w:hAnsi="Times New Roman"/>
          <w:iCs/>
          <w:sz w:val="18"/>
          <w:szCs w:val="18"/>
        </w:rPr>
        <w:t>ed.,</w:t>
      </w:r>
      <w:proofErr w:type="gramEnd"/>
      <w:r w:rsidRPr="005A03D2">
        <w:rPr>
          <w:rFonts w:ascii="Times New Roman" w:hAnsi="Times New Roman"/>
          <w:iCs/>
          <w:sz w:val="18"/>
          <w:szCs w:val="18"/>
        </w:rPr>
        <w:t xml:space="preserve"> Roma 2009.</w:t>
      </w:r>
      <w:r w:rsidR="008130C7">
        <w:rPr>
          <w:rFonts w:ascii="Times New Roman" w:hAnsi="Times New Roman"/>
          <w:iCs/>
          <w:sz w:val="18"/>
          <w:szCs w:val="18"/>
        </w:rPr>
        <w:t xml:space="preserve"> </w:t>
      </w:r>
      <w:hyperlink r:id="rId6" w:history="1">
        <w:r w:rsidR="008130C7" w:rsidRPr="008130C7">
          <w:rPr>
            <w:rStyle w:val="Collegamentoipertestuale"/>
            <w:rFonts w:ascii="Times New Roman" w:hAnsi="Times New Roman"/>
            <w:iCs/>
            <w:sz w:val="18"/>
            <w:szCs w:val="18"/>
          </w:rPr>
          <w:t>Acquista da V&amp;P</w:t>
        </w:r>
      </w:hyperlink>
      <w:bookmarkStart w:id="0" w:name="_GoBack"/>
      <w:bookmarkEnd w:id="0"/>
    </w:p>
    <w:p w14:paraId="3ACDC4FE" w14:textId="77777777" w:rsidR="00A51CF1" w:rsidRPr="005A03D2" w:rsidRDefault="00A51CF1" w:rsidP="00A51CF1">
      <w:pPr>
        <w:spacing w:before="240" w:after="120" w:line="220" w:lineRule="exact"/>
        <w:rPr>
          <w:b/>
          <w:i/>
          <w:sz w:val="18"/>
        </w:rPr>
      </w:pPr>
      <w:r w:rsidRPr="005A03D2">
        <w:rPr>
          <w:b/>
          <w:i/>
          <w:sz w:val="18"/>
        </w:rPr>
        <w:t>DIDATTICA DEL CORSO</w:t>
      </w:r>
    </w:p>
    <w:p w14:paraId="35E9805B" w14:textId="77777777" w:rsidR="005A03D2" w:rsidRPr="005A03D2" w:rsidRDefault="005A03D2" w:rsidP="005A03D2">
      <w:pPr>
        <w:spacing w:before="240" w:after="120" w:line="220" w:lineRule="exact"/>
        <w:ind w:firstLine="284"/>
        <w:rPr>
          <w:noProof/>
          <w:sz w:val="18"/>
        </w:rPr>
      </w:pPr>
      <w:r w:rsidRPr="005A03D2">
        <w:rPr>
          <w:noProof/>
          <w:sz w:val="18"/>
        </w:rPr>
        <w:t xml:space="preserve">Lezioni in aula (o eventualmente da remoto) accompagnate da proiezioni di immagini. Visite a musei e complessi architettonici). </w:t>
      </w:r>
    </w:p>
    <w:p w14:paraId="59EDE7C4" w14:textId="77777777" w:rsidR="005A03D2" w:rsidRPr="005A03D2" w:rsidRDefault="005A03D2" w:rsidP="005A03D2">
      <w:pPr>
        <w:spacing w:before="240" w:after="120" w:line="220" w:lineRule="exact"/>
        <w:ind w:firstLine="284"/>
        <w:rPr>
          <w:noProof/>
          <w:sz w:val="18"/>
        </w:rPr>
      </w:pPr>
      <w:r w:rsidRPr="005A03D2">
        <w:rPr>
          <w:noProof/>
          <w:sz w:val="18"/>
        </w:rPr>
        <w:t>Per facilitare l’apprendimento delle tematiche affrontate in aula, su BlackBoard  nel corso dell’anno saranno messe a disposizione degli studenti le presentazioni in Power Point illustrate durante le lezioni.</w:t>
      </w:r>
    </w:p>
    <w:p w14:paraId="403AD726" w14:textId="77777777" w:rsidR="00961134" w:rsidRPr="005A03D2" w:rsidRDefault="00A51CF1" w:rsidP="00961134">
      <w:pPr>
        <w:spacing w:before="240" w:after="120" w:line="220" w:lineRule="exact"/>
        <w:rPr>
          <w:b/>
          <w:i/>
          <w:sz w:val="18"/>
        </w:rPr>
      </w:pPr>
      <w:r w:rsidRPr="005A03D2">
        <w:rPr>
          <w:b/>
          <w:i/>
          <w:sz w:val="18"/>
        </w:rPr>
        <w:t>METODO E CRITERI DI VALUTAZIONE</w:t>
      </w:r>
    </w:p>
    <w:p w14:paraId="1EF3126B" w14:textId="77777777" w:rsidR="005A03D2" w:rsidRPr="005A03D2" w:rsidRDefault="005A03D2" w:rsidP="005A03D2">
      <w:pPr>
        <w:spacing w:before="240" w:after="120"/>
        <w:ind w:firstLine="284"/>
        <w:rPr>
          <w:noProof/>
          <w:sz w:val="18"/>
        </w:rPr>
      </w:pPr>
      <w:r w:rsidRPr="005A03D2">
        <w:rPr>
          <w:noProof/>
          <w:sz w:val="18"/>
        </w:rPr>
        <w:t xml:space="preserve">Nel corso del colloquio orale, di congrua durata, lo studente dovrà saper presentare adeguatamente gli argomenti trattati in aula e proposti nella bibliografia di appoggio. La valutazione in trentesimi terrà conto delle capacità di argomentazione, contestualizzare e senso critico, nonché delle proprietà di linguaggio e delle abilità comunicative. </w:t>
      </w:r>
    </w:p>
    <w:p w14:paraId="7732F37A" w14:textId="77777777" w:rsidR="00A51CF1" w:rsidRPr="005A03D2" w:rsidRDefault="00A51CF1" w:rsidP="00A51CF1">
      <w:pPr>
        <w:spacing w:before="240" w:after="120"/>
        <w:rPr>
          <w:b/>
          <w:i/>
          <w:sz w:val="18"/>
        </w:rPr>
      </w:pPr>
      <w:r w:rsidRPr="005A03D2">
        <w:rPr>
          <w:b/>
          <w:i/>
          <w:sz w:val="18"/>
        </w:rPr>
        <w:t>AVVERTENZE E PREREQUISITI</w:t>
      </w:r>
    </w:p>
    <w:p w14:paraId="71735845" w14:textId="77777777" w:rsidR="005A03D2" w:rsidRPr="005A03D2" w:rsidRDefault="005A03D2" w:rsidP="005A03D2">
      <w:pPr>
        <w:pStyle w:val="Testo2"/>
      </w:pPr>
      <w:r w:rsidRPr="005A03D2">
        <w:t>Dato il carattere introduttivo del corso, attinente una materia presumibilmente poco nota a studenti della laurea triennale, si richiede una pregressa conoscenza manualistica della Storia medievale e della Storia dell’arte medievale, eventualmente consolidata dalla frequenza di insegnamenti affini nel corso del contemporaneo  percorso di studi universitario.</w:t>
      </w:r>
    </w:p>
    <w:p w14:paraId="107F5C8E" w14:textId="77777777" w:rsidR="00961134" w:rsidRPr="005A03D2" w:rsidRDefault="00961134" w:rsidP="00961134">
      <w:pPr>
        <w:pStyle w:val="Testo2"/>
        <w:rPr>
          <w:i/>
        </w:rPr>
      </w:pPr>
      <w:r w:rsidRPr="005A03D2">
        <w:rPr>
          <w:b/>
          <w:bCs/>
        </w:rPr>
        <w:lastRenderedPageBreak/>
        <w:t> </w:t>
      </w:r>
    </w:p>
    <w:p w14:paraId="010E6C3C" w14:textId="77777777" w:rsidR="00961134" w:rsidRPr="005A03D2" w:rsidRDefault="00961134" w:rsidP="00961134">
      <w:pPr>
        <w:pStyle w:val="Testo2"/>
        <w:rPr>
          <w:i/>
        </w:rPr>
      </w:pPr>
      <w:r w:rsidRPr="005A03D2">
        <w:rPr>
          <w:bCs/>
          <w:i/>
        </w:rPr>
        <w:t>Orario e luogo di ricevimento</w:t>
      </w:r>
    </w:p>
    <w:p w14:paraId="215AF990" w14:textId="77777777" w:rsidR="00961134" w:rsidRPr="005A03D2" w:rsidRDefault="00961134" w:rsidP="00961134">
      <w:pPr>
        <w:pStyle w:val="Testo2"/>
        <w:rPr>
          <w:b/>
          <w:bCs/>
        </w:rPr>
      </w:pPr>
      <w:r w:rsidRPr="005A03D2">
        <w:t>In ufficio, dopo le lezioni.</w:t>
      </w:r>
      <w:r w:rsidRPr="005A03D2">
        <w:rPr>
          <w:b/>
          <w:bCs/>
        </w:rPr>
        <w:t> </w:t>
      </w:r>
    </w:p>
    <w:p w14:paraId="63452F9C" w14:textId="77777777" w:rsidR="00A51CF1" w:rsidRPr="00A51CF1" w:rsidRDefault="00A51CF1" w:rsidP="0016229B">
      <w:pPr>
        <w:pStyle w:val="Testo2"/>
        <w:spacing w:line="240" w:lineRule="exact"/>
      </w:pPr>
    </w:p>
    <w:sectPr w:rsidR="00A51CF1" w:rsidRPr="00A51CF1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F1"/>
    <w:rsid w:val="00027801"/>
    <w:rsid w:val="0016229B"/>
    <w:rsid w:val="00342DE9"/>
    <w:rsid w:val="00507E45"/>
    <w:rsid w:val="005242C6"/>
    <w:rsid w:val="005A03D2"/>
    <w:rsid w:val="008130C7"/>
    <w:rsid w:val="008D5D3F"/>
    <w:rsid w:val="008F0373"/>
    <w:rsid w:val="00944EF1"/>
    <w:rsid w:val="00961134"/>
    <w:rsid w:val="009C29C6"/>
    <w:rsid w:val="00A51CF1"/>
    <w:rsid w:val="00A54EEC"/>
    <w:rsid w:val="00B92E45"/>
    <w:rsid w:val="00CC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90F940"/>
  <w15:chartTrackingRefBased/>
  <w15:docId w15:val="{7DCB81CC-4FF0-4F6C-AB42-B334518C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813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arnau-alexandra-chavarria/archeologia-delle-chiese-dalle-origini-allanno-mille-9788843093120-552592.html" TargetMode="External"/><Relationship Id="rId5" Type="http://schemas.openxmlformats.org/officeDocument/2006/relationships/hyperlink" Target="https://librerie.unicatt.it/scheda-libro/augenti-andrea/archeologia-dellitalia-medievale-9788858122303-23526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DF155-8B68-49F9-B4D6-C795FB60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11</cp:revision>
  <cp:lastPrinted>2003-03-27T09:42:00Z</cp:lastPrinted>
  <dcterms:created xsi:type="dcterms:W3CDTF">2019-05-21T08:43:00Z</dcterms:created>
  <dcterms:modified xsi:type="dcterms:W3CDTF">2022-02-07T11:07:00Z</dcterms:modified>
</cp:coreProperties>
</file>