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1E" w:rsidRDefault="006A5E1E" w:rsidP="006A5E1E">
      <w:pPr>
        <w:pStyle w:val="Titolo1"/>
      </w:pPr>
      <w:r>
        <w:t>Storia della musica</w:t>
      </w:r>
    </w:p>
    <w:p w:rsidR="006A5E1E" w:rsidRDefault="006A5E1E" w:rsidP="006A5E1E">
      <w:pPr>
        <w:pStyle w:val="Titolo2"/>
      </w:pPr>
      <w:r>
        <w:t>Prof. Enrico Girardi</w:t>
      </w:r>
    </w:p>
    <w:p w:rsidR="006A5E1E" w:rsidRDefault="006A5E1E" w:rsidP="006A5E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A5E1E" w:rsidRPr="00193B6C" w:rsidRDefault="006A5E1E" w:rsidP="006A5E1E">
      <w:r w:rsidRPr="00193B6C">
        <w:t>Il corso si rivolge a tutti gli studenti della facoltà e si prefigge di offrire uno sguardo sulla molteplicità di linguaggi e di poetiche che caratterizzano la produzione musicale classica, romantica e tardoromantica. I risultati di apprendimento attesi riguardano non solo l’effettiva conoscenza teorica degli argomenti trattati ma anche l’attitudine a scoprire la storia della musica come parte integrante, e non accessoria, dello sviluppo delle arti e della cultura generale di ogni epoca e luogo.</w:t>
      </w:r>
    </w:p>
    <w:p w:rsidR="006A5E1E" w:rsidRDefault="006A5E1E" w:rsidP="006A5E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A5E1E" w:rsidRPr="00193B6C" w:rsidRDefault="006A5E1E" w:rsidP="006A5E1E">
      <w:r w:rsidRPr="00193B6C">
        <w:t>A.</w:t>
      </w:r>
      <w:r w:rsidRPr="00193B6C">
        <w:tab/>
        <w:t>Forme e generi nella storia della musica del Settecento e dell’Ottocento.</w:t>
      </w:r>
    </w:p>
    <w:p w:rsidR="006A5E1E" w:rsidRPr="00193B6C" w:rsidRDefault="006A5E1E" w:rsidP="006A5E1E">
      <w:r w:rsidRPr="00193B6C">
        <w:t>B.</w:t>
      </w:r>
      <w:r w:rsidRPr="00193B6C">
        <w:tab/>
      </w:r>
      <w:r w:rsidR="0049323B">
        <w:t xml:space="preserve">Giacomo </w:t>
      </w:r>
      <w:r>
        <w:t xml:space="preserve">Puccini e gli enigmi di </w:t>
      </w:r>
      <w:r>
        <w:rPr>
          <w:i/>
        </w:rPr>
        <w:t>Turandot</w:t>
      </w:r>
      <w:r w:rsidR="0049323B">
        <w:rPr>
          <w:i/>
        </w:rPr>
        <w:t>.</w:t>
      </w:r>
    </w:p>
    <w:p w:rsidR="006A5E1E" w:rsidRDefault="006A5E1E" w:rsidP="006A5E1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6A5E1E" w:rsidRPr="00E51134" w:rsidRDefault="006A5E1E" w:rsidP="006A5E1E">
      <w:pPr>
        <w:pStyle w:val="Testo1"/>
      </w:pPr>
      <w:r w:rsidRPr="00E51134">
        <w:rPr>
          <w:b/>
        </w:rPr>
        <w:t>Per la parte A</w:t>
      </w:r>
      <w:r w:rsidRPr="00E51134">
        <w:t>.</w:t>
      </w:r>
    </w:p>
    <w:p w:rsidR="006A5E1E" w:rsidRPr="00E51134" w:rsidRDefault="006A5E1E" w:rsidP="006A5E1E">
      <w:pPr>
        <w:pStyle w:val="Testo1"/>
      </w:pPr>
      <w:r w:rsidRPr="00184547">
        <w:rPr>
          <w:smallCaps/>
        </w:rPr>
        <w:t>Donald Jay G</w:t>
      </w:r>
      <w:r w:rsidR="00184547">
        <w:rPr>
          <w:smallCaps/>
        </w:rPr>
        <w:t>rout</w:t>
      </w:r>
      <w:r w:rsidRPr="00E51134">
        <w:t xml:space="preserve">, </w:t>
      </w:r>
      <w:r w:rsidRPr="00E51134">
        <w:rPr>
          <w:i/>
        </w:rPr>
        <w:t>Storia della musica in Occidente</w:t>
      </w:r>
      <w:r w:rsidRPr="00E51134">
        <w:t>, Feltrinelli, Milano 1984 (pp.407-687).</w:t>
      </w:r>
    </w:p>
    <w:p w:rsidR="006A5E1E" w:rsidRDefault="006A5E1E" w:rsidP="006A5E1E">
      <w:pPr>
        <w:pStyle w:val="Testo1"/>
      </w:pPr>
      <w:r w:rsidRPr="00E51134">
        <w:rPr>
          <w:b/>
        </w:rPr>
        <w:t>Per la parte B</w:t>
      </w:r>
      <w:r w:rsidRPr="00E51134">
        <w:t xml:space="preserve">. </w:t>
      </w:r>
      <w:r>
        <w:t xml:space="preserve">Oltre all’analisi di libretto e partitura della </w:t>
      </w:r>
      <w:r w:rsidRPr="006A5E1E">
        <w:rPr>
          <w:i/>
        </w:rPr>
        <w:t>Turandot</w:t>
      </w:r>
      <w:r>
        <w:t xml:space="preserve"> pucciniana, è previsto lo studio dei </w:t>
      </w:r>
      <w:r w:rsidR="00D04AA0">
        <w:t xml:space="preserve">tre </w:t>
      </w:r>
      <w:r>
        <w:t>seguenti saggi:</w:t>
      </w:r>
    </w:p>
    <w:p w:rsidR="006A5E1E" w:rsidRDefault="006A5E1E" w:rsidP="006A5E1E">
      <w:pPr>
        <w:pStyle w:val="Testo1"/>
        <w:numPr>
          <w:ilvl w:val="0"/>
          <w:numId w:val="1"/>
        </w:numPr>
      </w:pPr>
      <w:r w:rsidRPr="00184547">
        <w:rPr>
          <w:smallCaps/>
        </w:rPr>
        <w:t>Michele Girardi</w:t>
      </w:r>
      <w:r>
        <w:t xml:space="preserve">, </w:t>
      </w:r>
      <w:r w:rsidRPr="006A5E1E">
        <w:rPr>
          <w:i/>
        </w:rPr>
        <w:t>Turandot, palingenesi del melodramma</w:t>
      </w:r>
      <w:r>
        <w:t xml:space="preserve">, in </w:t>
      </w:r>
      <w:r w:rsidRPr="006A5E1E">
        <w:rPr>
          <w:i/>
        </w:rPr>
        <w:t>Turandot</w:t>
      </w:r>
      <w:r>
        <w:t>, Edizioni del Teatro alla Scala, Milano 2015, pp. 59-65.</w:t>
      </w:r>
    </w:p>
    <w:p w:rsidR="006A5E1E" w:rsidRDefault="006A5E1E" w:rsidP="006A5E1E">
      <w:pPr>
        <w:pStyle w:val="Testo1"/>
        <w:numPr>
          <w:ilvl w:val="0"/>
          <w:numId w:val="1"/>
        </w:numPr>
      </w:pPr>
      <w:r w:rsidRPr="00184547">
        <w:rPr>
          <w:smallCaps/>
        </w:rPr>
        <w:t>Marco Uvietta</w:t>
      </w:r>
      <w:r>
        <w:t xml:space="preserve">, </w:t>
      </w:r>
      <w:r w:rsidRPr="006A5E1E">
        <w:rPr>
          <w:i/>
        </w:rPr>
        <w:t>Il finale di Luciano Berio</w:t>
      </w:r>
      <w:r>
        <w:t xml:space="preserve">, in </w:t>
      </w:r>
      <w:r w:rsidRPr="006A5E1E">
        <w:rPr>
          <w:i/>
        </w:rPr>
        <w:t>Turandot</w:t>
      </w:r>
      <w:r>
        <w:t>, op.cit., pp.87-97.</w:t>
      </w:r>
    </w:p>
    <w:p w:rsidR="006A5E1E" w:rsidRDefault="006A5E1E" w:rsidP="006A5E1E">
      <w:pPr>
        <w:pStyle w:val="Testo1"/>
        <w:numPr>
          <w:ilvl w:val="0"/>
          <w:numId w:val="1"/>
        </w:numPr>
      </w:pPr>
      <w:r w:rsidRPr="00184547">
        <w:rPr>
          <w:smallCaps/>
        </w:rPr>
        <w:t>Enrico Girardi</w:t>
      </w:r>
      <w:r>
        <w:t xml:space="preserve">, </w:t>
      </w:r>
      <w:r w:rsidRPr="006A5E1E">
        <w:rPr>
          <w:i/>
        </w:rPr>
        <w:t>Quale Turandot? Questioni aperte sul finale dell’opera</w:t>
      </w:r>
      <w:r>
        <w:t xml:space="preserve">, in </w:t>
      </w:r>
      <w:r w:rsidRPr="006A5E1E">
        <w:rPr>
          <w:i/>
        </w:rPr>
        <w:t>Turandot</w:t>
      </w:r>
      <w:r>
        <w:t>, Edizioni del Teatro Regio, Torino 2018, pp.29-40.</w:t>
      </w:r>
    </w:p>
    <w:p w:rsidR="006A5E1E" w:rsidRDefault="006A5E1E" w:rsidP="006A5E1E">
      <w:pPr>
        <w:pStyle w:val="Testo1"/>
      </w:pPr>
    </w:p>
    <w:p w:rsidR="006A5E1E" w:rsidRPr="00E51134" w:rsidRDefault="006A5E1E" w:rsidP="006A5E1E">
      <w:pPr>
        <w:pStyle w:val="Testo1"/>
      </w:pPr>
      <w:r>
        <w:t>I m</w:t>
      </w:r>
      <w:r w:rsidRPr="00E51134">
        <w:t xml:space="preserve">ateriali </w:t>
      </w:r>
      <w:r>
        <w:t xml:space="preserve">della parte B. </w:t>
      </w:r>
      <w:r w:rsidRPr="00E51134">
        <w:t>saranno resi disponibili presso la copisteria dell’ateneo</w:t>
      </w:r>
      <w:r>
        <w:t xml:space="preserve"> a partire </w:t>
      </w:r>
      <w:r w:rsidR="00CB7800">
        <w:t>dall’inizio del mese di novembre</w:t>
      </w:r>
      <w:r w:rsidR="00184547">
        <w:t xml:space="preserve"> 2020</w:t>
      </w:r>
      <w:r w:rsidR="00CB7800">
        <w:t>.</w:t>
      </w:r>
    </w:p>
    <w:p w:rsidR="006A5E1E" w:rsidRDefault="006A5E1E" w:rsidP="006A5E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A5E1E" w:rsidRPr="00E51134" w:rsidRDefault="006A5E1E" w:rsidP="006A5E1E">
      <w:pPr>
        <w:pStyle w:val="Testo2"/>
      </w:pPr>
      <w:r w:rsidRPr="00E51134">
        <w:t>Lezioni in aula con ampio su</w:t>
      </w:r>
      <w:r w:rsidR="00CB7800">
        <w:t>pporto di materiale audio/video (salvo diverse indicazioni, dovute al</w:t>
      </w:r>
      <w:r w:rsidR="00E843F2">
        <w:t>l’emergenza Covid-19).</w:t>
      </w:r>
    </w:p>
    <w:p w:rsidR="006A5E1E" w:rsidRDefault="006A5E1E" w:rsidP="006A5E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A5E1E" w:rsidRPr="00E51134" w:rsidRDefault="006A5E1E" w:rsidP="006A5E1E">
      <w:pPr>
        <w:pStyle w:val="Testo2"/>
      </w:pPr>
      <w:r w:rsidRPr="00E51134">
        <w:lastRenderedPageBreak/>
        <w:t>L’esame si svolge in forma orale. Oltre all’effettiva conoscenza dei contenuti del corso, v</w:t>
      </w:r>
      <w:r w:rsidR="00E843F2">
        <w:t>engono v</w:t>
      </w:r>
      <w:r w:rsidRPr="00E51134">
        <w:t>aluta</w:t>
      </w:r>
      <w:r w:rsidR="00E843F2">
        <w:t>te</w:t>
      </w:r>
      <w:r w:rsidRPr="00E51134">
        <w:t xml:space="preserve"> la pertinenza terminologica e la consapevolezza critica. La valutazione sarà formulata in chiave “umanistica”, sulla base cioè del grado di consapevolezza culturale che gli studenti saranno capaci di dimostrare nel corso del colloquio.</w:t>
      </w:r>
      <w:r w:rsidR="00E843F2">
        <w:t xml:space="preserve"> Per la parte A. gli studenti frequentanti potranno sostituire il volume indicato </w:t>
      </w:r>
      <w:r w:rsidR="0049323B">
        <w:t xml:space="preserve">in bibliografia </w:t>
      </w:r>
      <w:r w:rsidR="00E843F2">
        <w:t>con il contenuto effettivamente affrontato a lezione. Per la parte B. il programma per studenti frequentanti e non frequentanti è, in ogni caso, quello indicato</w:t>
      </w:r>
      <w:r w:rsidR="0049323B">
        <w:t xml:space="preserve"> in bibliografia</w:t>
      </w:r>
      <w:r w:rsidR="00E843F2">
        <w:t>. Ai soli studenti frequentanti è destinato un preappello che avrà luogo al termine del corso.</w:t>
      </w:r>
    </w:p>
    <w:p w:rsidR="006A5E1E" w:rsidRDefault="006A5E1E" w:rsidP="006A5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A5E1E" w:rsidRDefault="006A5E1E" w:rsidP="006A5E1E">
      <w:pPr>
        <w:pStyle w:val="Testo2"/>
      </w:pPr>
      <w:r w:rsidRPr="00DB0E4F">
        <w:t xml:space="preserve">Agli studenti non sono richieste conoscenze musicali specifiche. Il corso, anzi, muove dal presupposto che gli studenti non hanno ricevuto, salvo </w:t>
      </w:r>
      <w:r w:rsidR="00E843F2">
        <w:t xml:space="preserve">particolari </w:t>
      </w:r>
      <w:r w:rsidRPr="00DB0E4F">
        <w:t>ci casi personali, una preparazione musicale di base.</w:t>
      </w:r>
    </w:p>
    <w:p w:rsidR="005A6F83" w:rsidRDefault="005A6F83" w:rsidP="006A5E1E">
      <w:pPr>
        <w:pStyle w:val="Testo2"/>
      </w:pPr>
    </w:p>
    <w:p w:rsidR="005A6F83" w:rsidRPr="005A6F83" w:rsidRDefault="005A6F83" w:rsidP="005A6F83">
      <w:pPr>
        <w:pStyle w:val="Testo2"/>
      </w:pPr>
      <w:r w:rsidRPr="005A6F83">
        <w:t>COVID-19</w:t>
      </w:r>
    </w:p>
    <w:p w:rsidR="005A6F83" w:rsidRDefault="005A6F83" w:rsidP="005A6F83">
      <w:pPr>
        <w:pStyle w:val="Testo2"/>
      </w:pPr>
      <w:r w:rsidRPr="005A6F83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  <w:bookmarkStart w:id="0" w:name="_GoBack"/>
      <w:bookmarkEnd w:id="0"/>
    </w:p>
    <w:p w:rsidR="005A6F83" w:rsidRDefault="005A6F83" w:rsidP="006A5E1E">
      <w:pPr>
        <w:pStyle w:val="Testo2"/>
      </w:pPr>
    </w:p>
    <w:p w:rsidR="005A6F83" w:rsidRPr="005A6F83" w:rsidRDefault="005A6F83" w:rsidP="006A5E1E">
      <w:pPr>
        <w:pStyle w:val="Testo2"/>
        <w:rPr>
          <w:i/>
        </w:rPr>
      </w:pPr>
      <w:r w:rsidRPr="005A6F83">
        <w:rPr>
          <w:i/>
        </w:rPr>
        <w:t>Orario e luogo di ricevimento per gli studenti</w:t>
      </w:r>
    </w:p>
    <w:p w:rsidR="006A5E1E" w:rsidRPr="00E51134" w:rsidRDefault="006A5E1E" w:rsidP="006A5E1E">
      <w:pPr>
        <w:pStyle w:val="Testo2"/>
      </w:pPr>
      <w:r w:rsidRPr="00E51134">
        <w:t>Il prof. Girardi riceve gli studenti su appuntamento</w:t>
      </w:r>
      <w:r w:rsidR="00E843F2">
        <w:t>, da concordare per posta elettronica.</w:t>
      </w:r>
      <w:r w:rsidRPr="00E51134">
        <w:t>.</w:t>
      </w:r>
    </w:p>
    <w:p w:rsidR="006A5E1E" w:rsidRPr="00E51134" w:rsidRDefault="006A5E1E" w:rsidP="006A5E1E">
      <w:pPr>
        <w:pStyle w:val="Testo2"/>
      </w:pPr>
    </w:p>
    <w:p w:rsidR="000E7378" w:rsidRDefault="006320B8"/>
    <w:sectPr w:rsidR="000E737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4969"/>
    <w:multiLevelType w:val="hybridMultilevel"/>
    <w:tmpl w:val="2AC89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E"/>
    <w:rsid w:val="00184547"/>
    <w:rsid w:val="0049323B"/>
    <w:rsid w:val="005A6F83"/>
    <w:rsid w:val="006320B8"/>
    <w:rsid w:val="006A5E1E"/>
    <w:rsid w:val="00B1708B"/>
    <w:rsid w:val="00CB7800"/>
    <w:rsid w:val="00D04AA0"/>
    <w:rsid w:val="00D61969"/>
    <w:rsid w:val="00E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BF275-E169-4B47-8F13-7F3CF39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E1E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6A5E1E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A5E1E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E1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E1E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A5E1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6A5E1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5E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Mob Chico 2015</dc:creator>
  <cp:lastModifiedBy>Esami</cp:lastModifiedBy>
  <cp:revision>2</cp:revision>
  <dcterms:created xsi:type="dcterms:W3CDTF">2020-07-13T07:57:00Z</dcterms:created>
  <dcterms:modified xsi:type="dcterms:W3CDTF">2020-07-13T07:57:00Z</dcterms:modified>
</cp:coreProperties>
</file>