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6F" w:rsidRDefault="006C556F" w:rsidP="006C556F">
      <w:pPr>
        <w:pStyle w:val="Titolo1"/>
      </w:pPr>
      <w:r>
        <w:t>Agiografia</w:t>
      </w:r>
    </w:p>
    <w:p w:rsidR="006C556F" w:rsidRDefault="006C556F" w:rsidP="006C556F">
      <w:pPr>
        <w:pStyle w:val="Titolo2"/>
      </w:pPr>
      <w:r>
        <w:t>Prof. Alessio Persic</w:t>
      </w:r>
    </w:p>
    <w:p w:rsidR="006C556F" w:rsidRDefault="006C556F" w:rsidP="006C556F">
      <w:pPr>
        <w:spacing w:before="240" w:after="120"/>
        <w:rPr>
          <w:b/>
          <w:sz w:val="18"/>
        </w:rPr>
      </w:pPr>
      <w:r>
        <w:rPr>
          <w:b/>
          <w:i/>
          <w:sz w:val="18"/>
        </w:rPr>
        <w:t>OBIETTIVO DEL CORSO E RISULTATI DI APPRENDIMENTO ATTESI</w:t>
      </w:r>
    </w:p>
    <w:p w:rsidR="006C556F" w:rsidRPr="00CA6D01" w:rsidRDefault="006C556F" w:rsidP="006C556F">
      <w:r w:rsidRPr="00CA6D01">
        <w:t xml:space="preserve">Scopo del corso è fornire – anche tramite circoscritti approfondimenti – gli elementi indispensabili per una valutazione storico-critica e un apprezzamento di rilevanza </w:t>
      </w:r>
      <w:proofErr w:type="gramStart"/>
      <w:r w:rsidRPr="00CA6D01">
        <w:t>culturale</w:t>
      </w:r>
      <w:proofErr w:type="gramEnd"/>
      <w:r w:rsidRPr="00CA6D01">
        <w:t xml:space="preserve"> dei molteplici fenomeni connessi al riconoscimento cristiano della santità e alla conseguente venerazione dei ‘santi’.</w:t>
      </w:r>
    </w:p>
    <w:p w:rsidR="006C556F" w:rsidRPr="00CA6D01" w:rsidRDefault="006C556F" w:rsidP="006C556F">
      <w:r w:rsidRPr="00CA6D01">
        <w:t xml:space="preserve">Al termine dell’insegnamento, se seguito con costanza e attenzione, si presume che lo studente sia in grado gestire sia a livello di apprendimento critico sia anche di personale ricerca scientifica la complessità multidisciplinare di uno studio agiologico. </w:t>
      </w:r>
    </w:p>
    <w:p w:rsidR="006C556F" w:rsidRDefault="006C556F" w:rsidP="006C556F">
      <w:pPr>
        <w:spacing w:before="240" w:after="120"/>
        <w:rPr>
          <w:b/>
          <w:sz w:val="18"/>
        </w:rPr>
      </w:pPr>
      <w:r>
        <w:rPr>
          <w:b/>
          <w:i/>
          <w:sz w:val="18"/>
        </w:rPr>
        <w:t>PROGRAMMA DEL CORSO</w:t>
      </w:r>
    </w:p>
    <w:p w:rsidR="006C556F" w:rsidRPr="00CA6D01" w:rsidRDefault="006C556F" w:rsidP="006C556F">
      <w:r w:rsidRPr="00CA6D01">
        <w:t>1) Parte generale:</w:t>
      </w:r>
    </w:p>
    <w:p w:rsidR="006C556F" w:rsidRPr="00CA6D01" w:rsidRDefault="006C556F" w:rsidP="006C556F">
      <w:proofErr w:type="gramStart"/>
      <w:r w:rsidRPr="00CA6D01">
        <w:t>l’agiografia</w:t>
      </w:r>
      <w:proofErr w:type="gramEnd"/>
      <w:r w:rsidRPr="00CA6D01">
        <w:t>/agiologia: ambito e metodo di ricerca, fonti e strumenti, prototipi di santità cristiana.</w:t>
      </w:r>
    </w:p>
    <w:p w:rsidR="006C556F" w:rsidRPr="00CA6D01" w:rsidRDefault="006C556F" w:rsidP="006C556F"/>
    <w:p w:rsidR="006C556F" w:rsidRPr="00CA6D01" w:rsidRDefault="006C556F" w:rsidP="006C556F">
      <w:pPr>
        <w:rPr>
          <w:b/>
          <w:bCs/>
        </w:rPr>
      </w:pPr>
      <w:r w:rsidRPr="00CA6D01">
        <w:t>2) Approfondimento monografico:</w:t>
      </w:r>
      <w:r w:rsidRPr="00CA6D01">
        <w:rPr>
          <w:b/>
          <w:bCs/>
        </w:rPr>
        <w:t xml:space="preserve"> </w:t>
      </w:r>
    </w:p>
    <w:p w:rsidR="006C556F" w:rsidRPr="00CA6D01" w:rsidRDefault="006C556F" w:rsidP="006C556F">
      <w:proofErr w:type="spellStart"/>
      <w:r w:rsidRPr="000E2E10">
        <w:rPr>
          <w:i/>
          <w:iCs/>
        </w:rPr>
        <w:t>Otherworldliness</w:t>
      </w:r>
      <w:proofErr w:type="spellEnd"/>
      <w:r>
        <w:t xml:space="preserve">: nuovo </w:t>
      </w:r>
      <w:r w:rsidRPr="00CA6D01">
        <w:t xml:space="preserve">umanesimo cristiano </w:t>
      </w:r>
      <w:r>
        <w:t xml:space="preserve">e salvaguardia del Creato negli </w:t>
      </w:r>
      <w:r w:rsidRPr="00CA6D01">
        <w:t xml:space="preserve">sviluppi </w:t>
      </w:r>
      <w:r>
        <w:t xml:space="preserve">paleocristiani </w:t>
      </w:r>
      <w:r w:rsidRPr="00CA6D01">
        <w:t>della s</w:t>
      </w:r>
      <w:r>
        <w:t>anti</w:t>
      </w:r>
      <w:r w:rsidRPr="00CA6D01">
        <w:t xml:space="preserve">tà </w:t>
      </w:r>
      <w:r>
        <w:t>monastica</w:t>
      </w:r>
      <w:r w:rsidRPr="00CA6D01">
        <w:rPr>
          <w:bCs/>
        </w:rPr>
        <w:t>.</w:t>
      </w:r>
    </w:p>
    <w:p w:rsidR="006C556F" w:rsidRDefault="006C556F" w:rsidP="006C556F">
      <w:pPr>
        <w:keepNext/>
        <w:spacing w:before="240" w:after="120"/>
        <w:rPr>
          <w:b/>
          <w:sz w:val="18"/>
        </w:rPr>
      </w:pPr>
      <w:r>
        <w:rPr>
          <w:b/>
          <w:i/>
          <w:sz w:val="18"/>
        </w:rPr>
        <w:t>BIBLIOGRAFIA</w:t>
      </w:r>
      <w:r w:rsidR="00C551CB">
        <w:rPr>
          <w:rStyle w:val="Rimandonotaapidipagina"/>
          <w:b/>
          <w:i/>
          <w:sz w:val="18"/>
        </w:rPr>
        <w:footnoteReference w:id="1"/>
      </w:r>
    </w:p>
    <w:p w:rsidR="006C556F" w:rsidRPr="00CA6D01" w:rsidRDefault="006C556F" w:rsidP="006C556F">
      <w:pPr>
        <w:pStyle w:val="Testo1"/>
        <w:spacing w:line="240" w:lineRule="exact"/>
      </w:pPr>
      <w:r w:rsidRPr="00CA6D01">
        <w:t>1) Stralci dai libri seguenti</w:t>
      </w:r>
      <w:r>
        <w:t xml:space="preserve"> (resi disponibili dal Docente)</w:t>
      </w:r>
      <w:r w:rsidRPr="00CA6D01">
        <w:t>:</w:t>
      </w:r>
    </w:p>
    <w:p w:rsidR="006C556F" w:rsidRPr="00CA6D01" w:rsidRDefault="006C556F" w:rsidP="006C556F">
      <w:pPr>
        <w:pStyle w:val="Testo1"/>
        <w:spacing w:line="240" w:lineRule="exact"/>
        <w:rPr>
          <w:spacing w:val="-5"/>
        </w:rPr>
      </w:pPr>
      <w:r w:rsidRPr="00CA6D01">
        <w:rPr>
          <w:smallCaps/>
          <w:spacing w:val="-5"/>
          <w:sz w:val="16"/>
        </w:rPr>
        <w:t>P. Brown,</w:t>
      </w:r>
      <w:r w:rsidRPr="00CA6D01">
        <w:rPr>
          <w:i/>
          <w:spacing w:val="-5"/>
        </w:rPr>
        <w:t xml:space="preserve"> Il culto dei santi. L'origine e la diffusione di una nuova religiosità [The cult of the saints. Its rise and function in Latin christianity] (Piccola biblioteca Einaudi,</w:t>
      </w:r>
      <w:r w:rsidRPr="00CA6D01">
        <w:rPr>
          <w:spacing w:val="-5"/>
        </w:rPr>
        <w:t xml:space="preserve"> N. S. ), Einaudi, Torino, 2002 (1983, London, 1981).</w:t>
      </w:r>
      <w:r w:rsidR="00C551CB">
        <w:rPr>
          <w:spacing w:val="-5"/>
        </w:rPr>
        <w:t xml:space="preserve"> </w:t>
      </w:r>
      <w:hyperlink r:id="rId8" w:history="1">
        <w:r w:rsidR="00C551CB" w:rsidRPr="00C551CB">
          <w:rPr>
            <w:rStyle w:val="Collegamentoipertestuale"/>
            <w:spacing w:val="-5"/>
          </w:rPr>
          <w:t>Acquista da V&amp;P</w:t>
        </w:r>
      </w:hyperlink>
    </w:p>
    <w:p w:rsidR="006C556F" w:rsidRPr="00CA6D01" w:rsidRDefault="006C556F" w:rsidP="006C556F">
      <w:pPr>
        <w:pStyle w:val="Testo1"/>
        <w:spacing w:line="240" w:lineRule="exact"/>
        <w:rPr>
          <w:spacing w:val="-5"/>
        </w:rPr>
      </w:pPr>
      <w:r w:rsidRPr="00CA6D01">
        <w:rPr>
          <w:smallCaps/>
          <w:spacing w:val="-5"/>
          <w:sz w:val="16"/>
        </w:rPr>
        <w:t>S. Boesch Gajano,</w:t>
      </w:r>
      <w:r w:rsidRPr="00CA6D01">
        <w:rPr>
          <w:i/>
          <w:spacing w:val="-5"/>
        </w:rPr>
        <w:t xml:space="preserve"> La santità (Biblioteca essenziale Laterza),</w:t>
      </w:r>
      <w:r w:rsidRPr="00CA6D01">
        <w:rPr>
          <w:spacing w:val="-5"/>
        </w:rPr>
        <w:t xml:space="preserve"> Laterza, Bari, 2005</w:t>
      </w:r>
      <w:r w:rsidRPr="00CA6D01">
        <w:rPr>
          <w:spacing w:val="-5"/>
          <w:vertAlign w:val="superscript"/>
        </w:rPr>
        <w:t>2</w:t>
      </w:r>
      <w:r w:rsidRPr="00CA6D01">
        <w:rPr>
          <w:spacing w:val="-5"/>
        </w:rPr>
        <w:t xml:space="preserve"> (1999).</w:t>
      </w:r>
      <w:r w:rsidR="00C551CB">
        <w:rPr>
          <w:spacing w:val="-5"/>
        </w:rPr>
        <w:t xml:space="preserve"> </w:t>
      </w:r>
    </w:p>
    <w:p w:rsidR="00C551CB" w:rsidRPr="00C551CB" w:rsidRDefault="006C556F" w:rsidP="00C551CB">
      <w:pPr>
        <w:pStyle w:val="Testo1"/>
        <w:spacing w:line="240" w:lineRule="exact"/>
        <w:rPr>
          <w:spacing w:val="-5"/>
        </w:rPr>
      </w:pPr>
      <w:r w:rsidRPr="00CA6D01">
        <w:t xml:space="preserve">S. </w:t>
      </w:r>
      <w:r w:rsidRPr="008B28AA">
        <w:rPr>
          <w:smallCaps/>
        </w:rPr>
        <w:t>Boesch Gajano</w:t>
      </w:r>
      <w:r w:rsidRPr="00CA6D01">
        <w:t>,</w:t>
      </w:r>
      <w:r w:rsidRPr="00CA6D01">
        <w:rPr>
          <w:i/>
        </w:rPr>
        <w:t xml:space="preserve"> Santità,</w:t>
      </w:r>
      <w:r w:rsidRPr="00CA6D01">
        <w:t xml:space="preserve"> </w:t>
      </w:r>
      <w:r w:rsidRPr="00CA6D01">
        <w:rPr>
          <w:i/>
        </w:rPr>
        <w:t>culti, agiografia. Temi e prospettive</w:t>
      </w:r>
      <w:r w:rsidRPr="00CA6D01">
        <w:t>, Viella, Roma, 1997.</w:t>
      </w:r>
      <w:r w:rsidR="00C551CB" w:rsidRPr="00C551CB">
        <w:rPr>
          <w:spacing w:val="-5"/>
        </w:rPr>
        <w:t xml:space="preserve"> </w:t>
      </w:r>
      <w:hyperlink r:id="rId9" w:history="1">
        <w:r w:rsidR="00C551CB" w:rsidRPr="00C551CB">
          <w:rPr>
            <w:rStyle w:val="Collegamentoipertestuale"/>
            <w:spacing w:val="-5"/>
          </w:rPr>
          <w:t>Acquista da V&amp;P</w:t>
        </w:r>
      </w:hyperlink>
    </w:p>
    <w:p w:rsidR="006C556F" w:rsidRPr="00CA6D01" w:rsidRDefault="006C556F" w:rsidP="006C556F">
      <w:pPr>
        <w:pStyle w:val="Testo1"/>
        <w:spacing w:line="240" w:lineRule="exact"/>
      </w:pPr>
      <w:r w:rsidRPr="00CA6D01">
        <w:t xml:space="preserve">A. </w:t>
      </w:r>
      <w:r w:rsidRPr="008B28AA">
        <w:rPr>
          <w:smallCaps/>
        </w:rPr>
        <w:t>Benvenuti - S. Boesch Gajano</w:t>
      </w:r>
      <w:r w:rsidRPr="00CA6D01">
        <w:t xml:space="preserve"> et al.,</w:t>
      </w:r>
      <w:r w:rsidRPr="00CA6D01">
        <w:rPr>
          <w:i/>
        </w:rPr>
        <w:t xml:space="preserve"> Storia della santità nel cristianesimo occidentale </w:t>
      </w:r>
      <w:r w:rsidRPr="00CA6D01">
        <w:t>(Sacro/santo, N. S., 9), Viella, Roma, 2005.</w:t>
      </w:r>
    </w:p>
    <w:p w:rsidR="006C556F" w:rsidRPr="00CA6D01" w:rsidRDefault="006C556F" w:rsidP="006C556F">
      <w:pPr>
        <w:pStyle w:val="Testo1"/>
        <w:spacing w:line="240" w:lineRule="exact"/>
      </w:pPr>
      <w:r w:rsidRPr="00CA6D01">
        <w:t xml:space="preserve">A. </w:t>
      </w:r>
      <w:r w:rsidRPr="008B28AA">
        <w:rPr>
          <w:smallCaps/>
        </w:rPr>
        <w:t>Monaci Castagno</w:t>
      </w:r>
      <w:r w:rsidRPr="00CA6D01">
        <w:t>,</w:t>
      </w:r>
      <w:r w:rsidRPr="00CA6D01">
        <w:rPr>
          <w:i/>
        </w:rPr>
        <w:t xml:space="preserve"> L'agiografia cristiana antica. Testi,</w:t>
      </w:r>
      <w:r w:rsidRPr="00CA6D01">
        <w:t xml:space="preserve"> </w:t>
      </w:r>
      <w:r w:rsidRPr="00CA6D01">
        <w:rPr>
          <w:i/>
        </w:rPr>
        <w:t>contesti, pubblico</w:t>
      </w:r>
      <w:r w:rsidRPr="00CA6D01">
        <w:t xml:space="preserve"> (collana Letteratura cristiana antica, N. S.), Morcelliana, Brescia 2010, 504 p.</w:t>
      </w:r>
      <w:r w:rsidR="00C551CB">
        <w:t xml:space="preserve"> </w:t>
      </w:r>
    </w:p>
    <w:p w:rsidR="006C556F" w:rsidRPr="008B28AA" w:rsidRDefault="006C556F" w:rsidP="006C556F">
      <w:pPr>
        <w:pStyle w:val="Testo1"/>
        <w:spacing w:line="240" w:lineRule="exact"/>
        <w:rPr>
          <w:sz w:val="10"/>
          <w:szCs w:val="12"/>
        </w:rPr>
      </w:pPr>
    </w:p>
    <w:p w:rsidR="006C556F" w:rsidRPr="001C083E" w:rsidRDefault="006C556F" w:rsidP="006C556F">
      <w:pPr>
        <w:pStyle w:val="Testo1"/>
        <w:spacing w:line="240" w:lineRule="exact"/>
        <w:rPr>
          <w:szCs w:val="18"/>
        </w:rPr>
      </w:pPr>
      <w:r w:rsidRPr="001C083E">
        <w:rPr>
          <w:szCs w:val="18"/>
        </w:rPr>
        <w:t xml:space="preserve">2) Testi </w:t>
      </w:r>
      <w:r w:rsidR="0094288E">
        <w:rPr>
          <w:szCs w:val="18"/>
        </w:rPr>
        <w:t xml:space="preserve">di </w:t>
      </w:r>
      <w:r w:rsidRPr="001C083E">
        <w:rPr>
          <w:szCs w:val="18"/>
        </w:rPr>
        <w:t>approfondimento monografico (resi disponibili dal Docente):</w:t>
      </w:r>
    </w:p>
    <w:p w:rsidR="006C556F" w:rsidRPr="00DB107A" w:rsidRDefault="006C556F" w:rsidP="00DB107A">
      <w:pPr>
        <w:autoSpaceDE w:val="0"/>
        <w:autoSpaceDN w:val="0"/>
        <w:adjustRightInd w:val="0"/>
        <w:ind w:left="284" w:hanging="284"/>
        <w:rPr>
          <w:rFonts w:cs="Times"/>
          <w:sz w:val="18"/>
          <w:szCs w:val="18"/>
          <w:lang w:bidi="he-IL"/>
        </w:rPr>
      </w:pPr>
      <w:r w:rsidRPr="001C083E">
        <w:rPr>
          <w:rFonts w:cs="Times"/>
          <w:smallCaps/>
          <w:sz w:val="18"/>
          <w:szCs w:val="18"/>
          <w:lang w:bidi="he-IL"/>
        </w:rPr>
        <w:t xml:space="preserve">A. </w:t>
      </w:r>
      <w:proofErr w:type="spellStart"/>
      <w:r w:rsidRPr="001C083E">
        <w:rPr>
          <w:rFonts w:cs="Times"/>
          <w:smallCaps/>
          <w:sz w:val="18"/>
          <w:szCs w:val="18"/>
          <w:lang w:bidi="he-IL"/>
        </w:rPr>
        <w:t>Persic</w:t>
      </w:r>
      <w:proofErr w:type="spellEnd"/>
      <w:r w:rsidRPr="001C083E">
        <w:rPr>
          <w:rFonts w:cs="Times"/>
          <w:sz w:val="18"/>
          <w:szCs w:val="18"/>
          <w:lang w:bidi="he-IL"/>
        </w:rPr>
        <w:t xml:space="preserve">, </w:t>
      </w:r>
      <w:r w:rsidRPr="001C083E">
        <w:rPr>
          <w:rFonts w:cs="Times"/>
          <w:i/>
          <w:iCs/>
          <w:sz w:val="18"/>
          <w:szCs w:val="18"/>
          <w:lang w:bidi="he-IL"/>
        </w:rPr>
        <w:t>“La terra è mia e voi state da me come stranieri e ospiti”</w:t>
      </w:r>
      <w:r w:rsidRPr="001C083E">
        <w:rPr>
          <w:rFonts w:cs="Times"/>
          <w:sz w:val="18"/>
          <w:szCs w:val="18"/>
          <w:lang w:bidi="he-IL"/>
        </w:rPr>
        <w:t xml:space="preserve"> </w:t>
      </w:r>
      <w:r w:rsidRPr="001C083E">
        <w:rPr>
          <w:rFonts w:cs="Times"/>
          <w:i/>
          <w:iCs/>
          <w:sz w:val="18"/>
          <w:szCs w:val="18"/>
          <w:lang w:bidi="he-IL"/>
        </w:rPr>
        <w:t>/</w:t>
      </w:r>
      <w:r w:rsidRPr="001C083E">
        <w:rPr>
          <w:rFonts w:cs="Times"/>
          <w:sz w:val="18"/>
          <w:szCs w:val="18"/>
          <w:lang w:bidi="he-IL"/>
        </w:rPr>
        <w:t xml:space="preserve"> </w:t>
      </w:r>
      <w:proofErr w:type="spellStart"/>
      <w:r w:rsidRPr="001C083E">
        <w:rPr>
          <w:rFonts w:cs="Times"/>
          <w:sz w:val="18"/>
          <w:szCs w:val="18"/>
          <w:lang w:bidi="he-IL"/>
        </w:rPr>
        <w:t>Ἐμὴ</w:t>
      </w:r>
      <w:proofErr w:type="spellEnd"/>
      <w:r w:rsidRPr="001C083E">
        <w:rPr>
          <w:rFonts w:cs="Times"/>
          <w:sz w:val="18"/>
          <w:szCs w:val="18"/>
          <w:lang w:bidi="he-IL"/>
        </w:rPr>
        <w:t xml:space="preserve"> </w:t>
      </w:r>
      <w:proofErr w:type="spellStart"/>
      <w:r w:rsidRPr="001C083E">
        <w:rPr>
          <w:rFonts w:cs="Times"/>
          <w:sz w:val="18"/>
          <w:szCs w:val="18"/>
          <w:lang w:bidi="he-IL"/>
        </w:rPr>
        <w:t>γάρ</w:t>
      </w:r>
      <w:proofErr w:type="spellEnd"/>
      <w:r w:rsidRPr="001C083E">
        <w:rPr>
          <w:rFonts w:cs="Times"/>
          <w:sz w:val="18"/>
          <w:szCs w:val="18"/>
          <w:lang w:bidi="he-IL"/>
        </w:rPr>
        <w:t xml:space="preserve"> </w:t>
      </w:r>
      <w:proofErr w:type="spellStart"/>
      <w:r w:rsidRPr="001C083E">
        <w:rPr>
          <w:rFonts w:cs="Times"/>
          <w:sz w:val="18"/>
          <w:szCs w:val="18"/>
          <w:lang w:bidi="he-IL"/>
        </w:rPr>
        <w:t>ἐστιν</w:t>
      </w:r>
      <w:proofErr w:type="spellEnd"/>
      <w:r w:rsidRPr="001C083E">
        <w:rPr>
          <w:rFonts w:cs="Times"/>
          <w:sz w:val="18"/>
          <w:szCs w:val="18"/>
          <w:lang w:bidi="he-IL"/>
        </w:rPr>
        <w:t xml:space="preserve"> ἡ </w:t>
      </w:r>
      <w:proofErr w:type="spellStart"/>
      <w:r w:rsidRPr="001C083E">
        <w:rPr>
          <w:rFonts w:cs="Times"/>
          <w:sz w:val="18"/>
          <w:szCs w:val="18"/>
          <w:lang w:bidi="he-IL"/>
        </w:rPr>
        <w:t>γῆ</w:t>
      </w:r>
      <w:proofErr w:type="spellEnd"/>
      <w:r w:rsidRPr="001C083E">
        <w:rPr>
          <w:rFonts w:cs="Times"/>
          <w:sz w:val="18"/>
          <w:szCs w:val="18"/>
          <w:lang w:bidi="he-IL"/>
        </w:rPr>
        <w:t xml:space="preserve">, </w:t>
      </w:r>
      <w:proofErr w:type="spellStart"/>
      <w:r w:rsidRPr="001C083E">
        <w:rPr>
          <w:rFonts w:cs="Times"/>
          <w:sz w:val="18"/>
          <w:szCs w:val="18"/>
          <w:lang w:bidi="he-IL"/>
        </w:rPr>
        <w:t>διότι</w:t>
      </w:r>
      <w:proofErr w:type="spellEnd"/>
      <w:r w:rsidRPr="001C083E">
        <w:rPr>
          <w:rFonts w:cs="Times"/>
          <w:sz w:val="18"/>
          <w:szCs w:val="18"/>
          <w:lang w:bidi="he-IL"/>
        </w:rPr>
        <w:t xml:space="preserve"> π</w:t>
      </w:r>
      <w:proofErr w:type="spellStart"/>
      <w:r w:rsidRPr="001C083E">
        <w:rPr>
          <w:rFonts w:cs="Times"/>
          <w:sz w:val="18"/>
          <w:szCs w:val="18"/>
          <w:lang w:bidi="he-IL"/>
        </w:rPr>
        <w:t>ροσήλυτοι</w:t>
      </w:r>
      <w:proofErr w:type="spellEnd"/>
      <w:r w:rsidRPr="001C083E">
        <w:rPr>
          <w:rFonts w:cs="Times"/>
          <w:sz w:val="18"/>
          <w:szCs w:val="18"/>
          <w:lang w:bidi="he-IL"/>
        </w:rPr>
        <w:t xml:space="preserve"> καὶ π</w:t>
      </w:r>
      <w:proofErr w:type="spellStart"/>
      <w:r w:rsidRPr="001C083E">
        <w:rPr>
          <w:rFonts w:cs="Times"/>
          <w:sz w:val="18"/>
          <w:szCs w:val="18"/>
          <w:lang w:bidi="he-IL"/>
        </w:rPr>
        <w:t>άροικοι</w:t>
      </w:r>
      <w:proofErr w:type="spellEnd"/>
      <w:r w:rsidRPr="001C083E">
        <w:rPr>
          <w:rFonts w:cs="Times"/>
          <w:sz w:val="18"/>
          <w:szCs w:val="18"/>
          <w:lang w:bidi="he-IL"/>
        </w:rPr>
        <w:t xml:space="preserve"> </w:t>
      </w:r>
      <w:proofErr w:type="spellStart"/>
      <w:r w:rsidRPr="001C083E">
        <w:rPr>
          <w:rFonts w:cs="Times"/>
          <w:sz w:val="18"/>
          <w:szCs w:val="18"/>
          <w:lang w:bidi="he-IL"/>
        </w:rPr>
        <w:t>ὑμεῖς</w:t>
      </w:r>
      <w:proofErr w:type="spellEnd"/>
      <w:r w:rsidRPr="001C083E">
        <w:rPr>
          <w:rFonts w:cs="Times"/>
          <w:sz w:val="18"/>
          <w:szCs w:val="18"/>
          <w:lang w:bidi="he-IL"/>
        </w:rPr>
        <w:t xml:space="preserve"> </w:t>
      </w:r>
      <w:proofErr w:type="spellStart"/>
      <w:r w:rsidRPr="001C083E">
        <w:rPr>
          <w:rFonts w:cs="Times"/>
          <w:sz w:val="18"/>
          <w:szCs w:val="18"/>
          <w:lang w:bidi="he-IL"/>
        </w:rPr>
        <w:t>ἐστε</w:t>
      </w:r>
      <w:proofErr w:type="spellEnd"/>
      <w:r w:rsidRPr="001C083E">
        <w:rPr>
          <w:rFonts w:cs="Times"/>
          <w:sz w:val="18"/>
          <w:szCs w:val="18"/>
          <w:lang w:bidi="he-IL"/>
        </w:rPr>
        <w:t xml:space="preserve"> </w:t>
      </w:r>
      <w:proofErr w:type="spellStart"/>
      <w:r w:rsidRPr="001C083E">
        <w:rPr>
          <w:rFonts w:cs="Times"/>
          <w:sz w:val="18"/>
          <w:szCs w:val="18"/>
          <w:lang w:bidi="he-IL"/>
        </w:rPr>
        <w:t>ἐν</w:t>
      </w:r>
      <w:proofErr w:type="spellEnd"/>
      <w:r w:rsidRPr="001C083E">
        <w:rPr>
          <w:rFonts w:cs="Times"/>
          <w:sz w:val="18"/>
          <w:szCs w:val="18"/>
          <w:lang w:bidi="he-IL"/>
        </w:rPr>
        <w:t xml:space="preserve">αντίον </w:t>
      </w:r>
      <w:proofErr w:type="spellStart"/>
      <w:r w:rsidRPr="001C083E">
        <w:rPr>
          <w:rFonts w:cs="Times"/>
          <w:sz w:val="18"/>
          <w:szCs w:val="18"/>
          <w:lang w:bidi="he-IL"/>
        </w:rPr>
        <w:t>μου</w:t>
      </w:r>
      <w:proofErr w:type="spellEnd"/>
      <w:r w:rsidRPr="001C083E">
        <w:rPr>
          <w:rFonts w:cs="Times"/>
          <w:sz w:val="18"/>
          <w:szCs w:val="18"/>
          <w:lang w:bidi="he-IL"/>
        </w:rPr>
        <w:t xml:space="preserve"> </w:t>
      </w:r>
      <w:r w:rsidRPr="001C083E">
        <w:rPr>
          <w:rFonts w:cs="Times"/>
          <w:i/>
          <w:iCs/>
          <w:sz w:val="18"/>
          <w:szCs w:val="18"/>
          <w:lang w:bidi="he-IL"/>
        </w:rPr>
        <w:t xml:space="preserve">/ </w:t>
      </w:r>
      <w:r w:rsidRPr="001C083E">
        <w:rPr>
          <w:rFonts w:cs="Times"/>
          <w:sz w:val="18"/>
          <w:szCs w:val="18"/>
          <w:lang w:bidi="he-IL"/>
        </w:rPr>
        <w:t xml:space="preserve">Terra […] mea est et </w:t>
      </w:r>
      <w:proofErr w:type="spellStart"/>
      <w:r w:rsidRPr="001C083E">
        <w:rPr>
          <w:rFonts w:cs="Times"/>
          <w:sz w:val="18"/>
          <w:szCs w:val="18"/>
          <w:lang w:bidi="he-IL"/>
        </w:rPr>
        <w:t>vos</w:t>
      </w:r>
      <w:proofErr w:type="spellEnd"/>
      <w:r w:rsidRPr="001C083E">
        <w:rPr>
          <w:rFonts w:cs="Times"/>
          <w:sz w:val="18"/>
          <w:szCs w:val="18"/>
          <w:lang w:bidi="he-IL"/>
        </w:rPr>
        <w:t xml:space="preserve"> </w:t>
      </w:r>
      <w:proofErr w:type="spellStart"/>
      <w:r w:rsidRPr="001C083E">
        <w:rPr>
          <w:rFonts w:cs="Times"/>
          <w:sz w:val="18"/>
          <w:szCs w:val="18"/>
          <w:lang w:bidi="he-IL"/>
        </w:rPr>
        <w:t>advenae</w:t>
      </w:r>
      <w:proofErr w:type="spellEnd"/>
      <w:r w:rsidRPr="001C083E">
        <w:rPr>
          <w:rFonts w:cs="Times"/>
          <w:sz w:val="18"/>
          <w:szCs w:val="18"/>
          <w:lang w:bidi="he-IL"/>
        </w:rPr>
        <w:t xml:space="preserve"> et coloni mei </w:t>
      </w:r>
      <w:proofErr w:type="spellStart"/>
      <w:r w:rsidRPr="001C083E">
        <w:rPr>
          <w:rFonts w:cs="Times"/>
          <w:sz w:val="18"/>
          <w:szCs w:val="18"/>
          <w:lang w:bidi="he-IL"/>
        </w:rPr>
        <w:t>estis</w:t>
      </w:r>
      <w:proofErr w:type="spellEnd"/>
      <w:r w:rsidRPr="001C083E">
        <w:rPr>
          <w:rFonts w:cs="Times"/>
          <w:i/>
          <w:iCs/>
          <w:sz w:val="18"/>
          <w:szCs w:val="18"/>
          <w:lang w:bidi="he-IL"/>
        </w:rPr>
        <w:t xml:space="preserve"> </w:t>
      </w:r>
      <w:r w:rsidRPr="001C083E">
        <w:rPr>
          <w:rFonts w:cs="Times"/>
          <w:sz w:val="18"/>
          <w:szCs w:val="18"/>
          <w:lang w:bidi="he-IL"/>
        </w:rPr>
        <w:t>(</w:t>
      </w:r>
      <w:proofErr w:type="spellStart"/>
      <w:r w:rsidRPr="001C083E">
        <w:rPr>
          <w:rFonts w:cs="Times"/>
          <w:i/>
          <w:iCs/>
          <w:sz w:val="18"/>
          <w:szCs w:val="18"/>
          <w:lang w:bidi="he-IL"/>
        </w:rPr>
        <w:t>Lv</w:t>
      </w:r>
      <w:proofErr w:type="spellEnd"/>
      <w:r w:rsidRPr="001C083E">
        <w:rPr>
          <w:rFonts w:cs="Times"/>
          <w:i/>
          <w:iCs/>
          <w:sz w:val="18"/>
          <w:szCs w:val="18"/>
          <w:lang w:bidi="he-IL"/>
        </w:rPr>
        <w:t xml:space="preserve"> 25,23). Mondo creato e proprietà della terra nei </w:t>
      </w:r>
      <w:r w:rsidR="00DB107A">
        <w:rPr>
          <w:rFonts w:cs="Times"/>
          <w:i/>
          <w:iCs/>
          <w:sz w:val="18"/>
          <w:szCs w:val="18"/>
          <w:lang w:bidi="he-IL"/>
        </w:rPr>
        <w:t>P</w:t>
      </w:r>
      <w:r w:rsidRPr="001C083E">
        <w:rPr>
          <w:rFonts w:cs="Times"/>
          <w:i/>
          <w:iCs/>
          <w:sz w:val="18"/>
          <w:szCs w:val="18"/>
          <w:lang w:bidi="he-IL"/>
        </w:rPr>
        <w:t xml:space="preserve">adri della </w:t>
      </w:r>
      <w:r w:rsidR="00DB107A">
        <w:rPr>
          <w:rFonts w:cs="Times"/>
          <w:i/>
          <w:iCs/>
          <w:sz w:val="18"/>
          <w:szCs w:val="18"/>
          <w:lang w:bidi="he-IL"/>
        </w:rPr>
        <w:t>C</w:t>
      </w:r>
      <w:r w:rsidRPr="001C083E">
        <w:rPr>
          <w:rFonts w:cs="Times"/>
          <w:i/>
          <w:iCs/>
          <w:sz w:val="18"/>
          <w:szCs w:val="18"/>
          <w:lang w:bidi="he-IL"/>
        </w:rPr>
        <w:t xml:space="preserve">hiesa: un </w:t>
      </w:r>
      <w:r w:rsidRPr="00DB107A">
        <w:rPr>
          <w:rFonts w:cs="Times"/>
          <w:i/>
          <w:iCs/>
          <w:sz w:val="18"/>
          <w:szCs w:val="18"/>
          <w:lang w:bidi="he-IL"/>
        </w:rPr>
        <w:t>percorso critico-antologico</w:t>
      </w:r>
      <w:r w:rsidRPr="00DB107A">
        <w:rPr>
          <w:rFonts w:cs="Times"/>
          <w:sz w:val="18"/>
          <w:szCs w:val="18"/>
          <w:lang w:bidi="he-IL"/>
        </w:rPr>
        <w:t xml:space="preserve"> (2019), 1-21, in linea: </w:t>
      </w:r>
      <w:hyperlink r:id="rId10" w:history="1">
        <w:r w:rsidRPr="00DB107A">
          <w:rPr>
            <w:rStyle w:val="Collegamentoipertestuale"/>
            <w:rFonts w:cs="Times"/>
            <w:color w:val="auto"/>
            <w:sz w:val="18"/>
            <w:szCs w:val="18"/>
            <w:u w:val="none"/>
          </w:rPr>
          <w:t>https://www.academia.edu/39530112/</w:t>
        </w:r>
      </w:hyperlink>
      <w:r w:rsidRPr="00DB107A">
        <w:rPr>
          <w:rFonts w:cs="Times"/>
          <w:sz w:val="18"/>
          <w:szCs w:val="18"/>
          <w:lang w:bidi="he-IL"/>
        </w:rPr>
        <w:t>.</w:t>
      </w:r>
    </w:p>
    <w:p w:rsidR="006C556F" w:rsidRPr="00DB107A" w:rsidRDefault="006C556F" w:rsidP="00DB107A">
      <w:pPr>
        <w:autoSpaceDE w:val="0"/>
        <w:autoSpaceDN w:val="0"/>
        <w:adjustRightInd w:val="0"/>
        <w:ind w:left="284" w:hanging="284"/>
        <w:rPr>
          <w:rFonts w:eastAsia="CIDFont+F2" w:cs="Times"/>
          <w:sz w:val="18"/>
          <w:szCs w:val="18"/>
          <w:lang w:val="en-GB" w:bidi="he-IL"/>
        </w:rPr>
      </w:pPr>
      <w:r w:rsidRPr="00DB107A">
        <w:rPr>
          <w:rFonts w:eastAsia="CIDFont+F2" w:cs="Times"/>
          <w:smallCaps/>
          <w:sz w:val="18"/>
          <w:szCs w:val="18"/>
          <w:lang w:val="en-GB" w:bidi="he-IL"/>
        </w:rPr>
        <w:t xml:space="preserve">A. </w:t>
      </w:r>
      <w:proofErr w:type="spellStart"/>
      <w:r w:rsidRPr="00DB107A">
        <w:rPr>
          <w:rFonts w:eastAsia="CIDFont+F2" w:cs="Times"/>
          <w:smallCaps/>
          <w:sz w:val="18"/>
          <w:szCs w:val="18"/>
          <w:lang w:val="en-GB" w:bidi="he-IL"/>
        </w:rPr>
        <w:t>Peršič</w:t>
      </w:r>
      <w:proofErr w:type="spellEnd"/>
      <w:r w:rsidRPr="00DB107A">
        <w:rPr>
          <w:rFonts w:eastAsia="CIDFont+F2" w:cs="Times"/>
          <w:sz w:val="18"/>
          <w:szCs w:val="18"/>
          <w:lang w:val="en-GB" w:bidi="he-IL"/>
        </w:rPr>
        <w:t xml:space="preserve">, </w:t>
      </w:r>
      <w:r w:rsidRPr="00DB107A">
        <w:rPr>
          <w:rFonts w:eastAsia="CIDFont+F2" w:cs="Times"/>
          <w:i/>
          <w:iCs/>
          <w:sz w:val="18"/>
          <w:szCs w:val="18"/>
          <w:lang w:val="en-GB" w:bidi="he-IL"/>
        </w:rPr>
        <w:t xml:space="preserve">The concept of </w:t>
      </w:r>
      <w:proofErr w:type="spellStart"/>
      <w:r w:rsidRPr="00DB107A">
        <w:rPr>
          <w:rFonts w:eastAsia="CIDFont+F2" w:cs="Times"/>
          <w:sz w:val="18"/>
          <w:szCs w:val="18"/>
          <w:lang w:val="en-GB" w:bidi="he-IL"/>
        </w:rPr>
        <w:t>rusticitas</w:t>
      </w:r>
      <w:proofErr w:type="spellEnd"/>
      <w:r w:rsidRPr="00DB107A">
        <w:rPr>
          <w:rFonts w:eastAsia="CIDFont+F2" w:cs="Times"/>
          <w:i/>
          <w:iCs/>
          <w:sz w:val="18"/>
          <w:szCs w:val="18"/>
          <w:lang w:val="en-GB" w:bidi="he-IL"/>
        </w:rPr>
        <w:t xml:space="preserve"> of language</w:t>
      </w:r>
      <w:r w:rsidRPr="00DB107A">
        <w:rPr>
          <w:rFonts w:eastAsia="CIDFont+F2" w:cs="Times"/>
          <w:sz w:val="18"/>
          <w:szCs w:val="18"/>
          <w:lang w:val="en-GB" w:bidi="he-IL"/>
        </w:rPr>
        <w:t xml:space="preserve">, </w:t>
      </w:r>
      <w:proofErr w:type="spellStart"/>
      <w:r w:rsidRPr="00DB107A">
        <w:rPr>
          <w:rFonts w:eastAsia="CIDFont+F2" w:cs="Times"/>
          <w:sz w:val="18"/>
          <w:szCs w:val="18"/>
          <w:lang w:val="en-GB" w:bidi="he-IL"/>
        </w:rPr>
        <w:t>dans</w:t>
      </w:r>
      <w:proofErr w:type="spellEnd"/>
      <w:r w:rsidRPr="00DB107A">
        <w:rPr>
          <w:rFonts w:eastAsia="CIDFont+F2" w:cs="Times"/>
          <w:sz w:val="18"/>
          <w:szCs w:val="18"/>
          <w:lang w:val="en-GB" w:bidi="he-IL"/>
        </w:rPr>
        <w:t xml:space="preserve">: </w:t>
      </w:r>
      <w:r w:rsidRPr="00DB107A">
        <w:rPr>
          <w:rFonts w:eastAsia="CIDFont+F2" w:cs="Times"/>
          <w:smallCaps/>
          <w:sz w:val="18"/>
          <w:szCs w:val="18"/>
          <w:lang w:val="en-GB" w:bidi="he-IL"/>
        </w:rPr>
        <w:t xml:space="preserve">T. </w:t>
      </w:r>
      <w:proofErr w:type="spellStart"/>
      <w:r w:rsidRPr="00DB107A">
        <w:rPr>
          <w:rFonts w:eastAsia="CIDFont+F2" w:cs="Times"/>
          <w:smallCaps/>
          <w:sz w:val="18"/>
          <w:szCs w:val="18"/>
          <w:lang w:val="en-GB" w:bidi="he-IL"/>
        </w:rPr>
        <w:t>Denecker</w:t>
      </w:r>
      <w:proofErr w:type="spellEnd"/>
      <w:r w:rsidRPr="00DB107A">
        <w:rPr>
          <w:rFonts w:eastAsia="CIDFont+F2" w:cs="Times"/>
          <w:smallCaps/>
          <w:sz w:val="18"/>
          <w:szCs w:val="18"/>
          <w:lang w:val="en-GB" w:bidi="he-IL"/>
        </w:rPr>
        <w:t xml:space="preserve">, M. </w:t>
      </w:r>
      <w:proofErr w:type="spellStart"/>
      <w:r w:rsidRPr="00DB107A">
        <w:rPr>
          <w:rFonts w:eastAsia="CIDFont+F2" w:cs="Times"/>
          <w:smallCaps/>
          <w:sz w:val="18"/>
          <w:szCs w:val="18"/>
          <w:lang w:val="en-GB" w:bidi="he-IL"/>
        </w:rPr>
        <w:t>Lamberigts</w:t>
      </w:r>
      <w:proofErr w:type="spellEnd"/>
      <w:r w:rsidRPr="00DB107A">
        <w:rPr>
          <w:rFonts w:eastAsia="CIDFont+F2" w:cs="Times"/>
          <w:smallCaps/>
          <w:sz w:val="18"/>
          <w:szCs w:val="18"/>
          <w:lang w:val="en-GB" w:bidi="he-IL"/>
        </w:rPr>
        <w:t xml:space="preserve">, G. </w:t>
      </w:r>
      <w:proofErr w:type="spellStart"/>
      <w:r w:rsidRPr="00DB107A">
        <w:rPr>
          <w:rFonts w:eastAsia="CIDFont+F2" w:cs="Times"/>
          <w:smallCaps/>
          <w:sz w:val="18"/>
          <w:szCs w:val="18"/>
          <w:lang w:val="en-GB" w:bidi="he-IL"/>
        </w:rPr>
        <w:t>Partoens</w:t>
      </w:r>
      <w:proofErr w:type="spellEnd"/>
      <w:r w:rsidRPr="00DB107A">
        <w:rPr>
          <w:rFonts w:eastAsia="CIDFont+F2" w:cs="Times"/>
          <w:smallCaps/>
          <w:sz w:val="18"/>
          <w:szCs w:val="18"/>
          <w:lang w:val="en-GB" w:bidi="he-IL"/>
        </w:rPr>
        <w:t xml:space="preserve">, P. </w:t>
      </w:r>
      <w:proofErr w:type="spellStart"/>
      <w:r w:rsidRPr="00DB107A">
        <w:rPr>
          <w:rFonts w:eastAsia="CIDFont+F2" w:cs="Times"/>
          <w:smallCaps/>
          <w:sz w:val="18"/>
          <w:szCs w:val="18"/>
          <w:lang w:val="en-GB" w:bidi="he-IL"/>
        </w:rPr>
        <w:t>Swiggers</w:t>
      </w:r>
      <w:proofErr w:type="spellEnd"/>
      <w:r w:rsidRPr="00DB107A">
        <w:rPr>
          <w:rFonts w:eastAsia="CIDFont+F2" w:cs="Times"/>
          <w:smallCaps/>
          <w:sz w:val="18"/>
          <w:szCs w:val="18"/>
          <w:lang w:val="en-GB" w:bidi="he-IL"/>
        </w:rPr>
        <w:t xml:space="preserve">, T. Van Hal </w:t>
      </w:r>
      <w:r w:rsidRPr="00DB107A">
        <w:rPr>
          <w:rFonts w:eastAsia="CIDFont+F2" w:cs="Times"/>
          <w:sz w:val="18"/>
          <w:szCs w:val="18"/>
          <w:lang w:val="en-GB" w:bidi="he-IL"/>
        </w:rPr>
        <w:t>(</w:t>
      </w:r>
      <w:proofErr w:type="spellStart"/>
      <w:r w:rsidRPr="00DB107A">
        <w:rPr>
          <w:rFonts w:eastAsia="CIDFont+F2" w:cs="Times"/>
          <w:sz w:val="18"/>
          <w:szCs w:val="18"/>
          <w:lang w:val="en-GB" w:bidi="he-IL"/>
        </w:rPr>
        <w:t>edd</w:t>
      </w:r>
      <w:proofErr w:type="spellEnd"/>
      <w:r w:rsidRPr="00DB107A">
        <w:rPr>
          <w:rFonts w:eastAsia="CIDFont+F2" w:cs="Times"/>
          <w:sz w:val="18"/>
          <w:szCs w:val="18"/>
          <w:lang w:val="en-GB" w:bidi="he-IL"/>
        </w:rPr>
        <w:t xml:space="preserve">.), </w:t>
      </w:r>
      <w:r w:rsidRPr="00DB107A">
        <w:rPr>
          <w:rFonts w:eastAsia="CIDFont+F3" w:cs="Times"/>
          <w:i/>
          <w:iCs/>
          <w:sz w:val="18"/>
          <w:szCs w:val="18"/>
          <w:lang w:val="en-GB" w:bidi="he-IL"/>
        </w:rPr>
        <w:t>Language and Culture in Early Christianity: A Companion</w:t>
      </w:r>
      <w:r w:rsidRPr="00DB107A">
        <w:rPr>
          <w:rFonts w:eastAsia="CIDFont+F2" w:cs="Times"/>
          <w:sz w:val="18"/>
          <w:szCs w:val="18"/>
          <w:lang w:val="en-GB" w:bidi="he-IL"/>
        </w:rPr>
        <w:t xml:space="preserve"> (in </w:t>
      </w:r>
      <w:proofErr w:type="spellStart"/>
      <w:r w:rsidRPr="00DB107A">
        <w:rPr>
          <w:rFonts w:eastAsia="CIDFont+F2" w:cs="Times"/>
          <w:sz w:val="18"/>
          <w:szCs w:val="18"/>
          <w:lang w:val="en-GB" w:bidi="he-IL"/>
        </w:rPr>
        <w:t>pubbl</w:t>
      </w:r>
      <w:proofErr w:type="spellEnd"/>
      <w:r w:rsidRPr="00DB107A">
        <w:rPr>
          <w:rFonts w:eastAsia="CIDFont+F2" w:cs="Times"/>
          <w:sz w:val="18"/>
          <w:szCs w:val="18"/>
          <w:lang w:val="en-GB" w:bidi="he-IL"/>
        </w:rPr>
        <w:t>.).</w:t>
      </w:r>
    </w:p>
    <w:p w:rsidR="006C556F" w:rsidRPr="00DB107A" w:rsidRDefault="006C556F" w:rsidP="00DB107A">
      <w:pPr>
        <w:pStyle w:val="Testo1"/>
        <w:spacing w:line="240" w:lineRule="exact"/>
        <w:rPr>
          <w:rFonts w:cs="Times"/>
          <w:bCs/>
          <w:spacing w:val="-5"/>
          <w:szCs w:val="18"/>
        </w:rPr>
      </w:pPr>
      <w:r w:rsidRPr="00DB107A">
        <w:rPr>
          <w:rFonts w:cs="Times"/>
          <w:smallCaps/>
          <w:spacing w:val="-5"/>
          <w:szCs w:val="18"/>
        </w:rPr>
        <w:t>Alessio Persic,</w:t>
      </w:r>
      <w:r w:rsidRPr="00DB107A">
        <w:rPr>
          <w:rFonts w:cs="Times"/>
          <w:i/>
          <w:spacing w:val="-5"/>
          <w:szCs w:val="18"/>
        </w:rPr>
        <w:t xml:space="preserve"> </w:t>
      </w:r>
      <w:r w:rsidRPr="00DB107A">
        <w:rPr>
          <w:rFonts w:cs="Times"/>
          <w:bCs/>
          <w:i/>
          <w:spacing w:val="-5"/>
          <w:szCs w:val="18"/>
        </w:rPr>
        <w:t>Primordi monastici d’Occidente: Martino da Sabaria ‘filosofo’ illirico,</w:t>
      </w:r>
      <w:r w:rsidRPr="00DB107A">
        <w:rPr>
          <w:rFonts w:cs="Times"/>
          <w:bCs/>
          <w:spacing w:val="-5"/>
          <w:szCs w:val="18"/>
        </w:rPr>
        <w:t xml:space="preserve"> ‘personaggio d’Europa’, in «Annali di Scienze Religiose» 8 (2015) 271-327 [passim]</w:t>
      </w:r>
    </w:p>
    <w:p w:rsidR="00DB107A" w:rsidRPr="00DB107A" w:rsidRDefault="00DB107A" w:rsidP="00DB107A">
      <w:pPr>
        <w:autoSpaceDE w:val="0"/>
        <w:autoSpaceDN w:val="0"/>
        <w:adjustRightInd w:val="0"/>
        <w:ind w:left="284" w:hanging="284"/>
        <w:rPr>
          <w:rFonts w:cs="Times"/>
          <w:sz w:val="18"/>
          <w:szCs w:val="18"/>
        </w:rPr>
      </w:pPr>
      <w:r>
        <w:rPr>
          <w:rFonts w:cs="Times"/>
          <w:smallCaps/>
          <w:sz w:val="18"/>
          <w:szCs w:val="18"/>
        </w:rPr>
        <w:t xml:space="preserve">A. </w:t>
      </w:r>
      <w:proofErr w:type="spellStart"/>
      <w:r w:rsidRPr="00DB107A">
        <w:rPr>
          <w:rFonts w:cs="Times"/>
          <w:smallCaps/>
          <w:sz w:val="18"/>
          <w:szCs w:val="18"/>
        </w:rPr>
        <w:t>Peršič</w:t>
      </w:r>
      <w:proofErr w:type="spellEnd"/>
      <w:r w:rsidRPr="00DB107A">
        <w:rPr>
          <w:rFonts w:cs="Times"/>
          <w:sz w:val="18"/>
          <w:szCs w:val="18"/>
        </w:rPr>
        <w:t xml:space="preserve">, </w:t>
      </w:r>
      <w:proofErr w:type="spellStart"/>
      <w:r w:rsidRPr="00DB107A">
        <w:rPr>
          <w:rFonts w:cs="Times"/>
          <w:i/>
          <w:iCs/>
          <w:sz w:val="18"/>
          <w:szCs w:val="18"/>
          <w:lang w:bidi="he-IL"/>
        </w:rPr>
        <w:t>Ennodio</w:t>
      </w:r>
      <w:proofErr w:type="spellEnd"/>
      <w:r w:rsidRPr="00DB107A">
        <w:rPr>
          <w:rFonts w:cs="Times"/>
          <w:i/>
          <w:iCs/>
          <w:sz w:val="18"/>
          <w:szCs w:val="18"/>
          <w:lang w:bidi="he-IL"/>
        </w:rPr>
        <w:t xml:space="preserve"> poeta dell’edificazione materiale della Chiesa a Milano ad opera del vescovo Lorenzo I</w:t>
      </w:r>
      <w:r w:rsidRPr="00DB107A">
        <w:rPr>
          <w:rFonts w:cs="Times"/>
          <w:sz w:val="18"/>
          <w:szCs w:val="18"/>
          <w:lang w:bidi="he-IL"/>
        </w:rPr>
        <w:t xml:space="preserve">, </w:t>
      </w:r>
      <w:r w:rsidR="00FC3E03">
        <w:rPr>
          <w:rFonts w:cs="Times"/>
          <w:sz w:val="18"/>
          <w:szCs w:val="18"/>
          <w:lang w:bidi="he-IL"/>
        </w:rPr>
        <w:t>in</w:t>
      </w:r>
      <w:r w:rsidRPr="00DB107A">
        <w:rPr>
          <w:rFonts w:cs="Times"/>
          <w:sz w:val="18"/>
          <w:szCs w:val="18"/>
          <w:lang w:bidi="he-IL"/>
        </w:rPr>
        <w:t xml:space="preserve">: S. </w:t>
      </w:r>
      <w:proofErr w:type="spellStart"/>
      <w:r w:rsidRPr="00DB107A">
        <w:rPr>
          <w:rFonts w:cs="Times"/>
          <w:smallCaps/>
          <w:sz w:val="18"/>
          <w:szCs w:val="18"/>
          <w:lang w:bidi="he-IL"/>
        </w:rPr>
        <w:t>Lusuardi</w:t>
      </w:r>
      <w:proofErr w:type="spellEnd"/>
      <w:r w:rsidRPr="00DB107A">
        <w:rPr>
          <w:rFonts w:cs="Times"/>
          <w:smallCaps/>
          <w:sz w:val="18"/>
          <w:szCs w:val="18"/>
          <w:lang w:bidi="he-IL"/>
        </w:rPr>
        <w:t xml:space="preserve"> Siena</w:t>
      </w:r>
      <w:r w:rsidRPr="00DB107A">
        <w:rPr>
          <w:rFonts w:cs="Times"/>
          <w:sz w:val="18"/>
          <w:szCs w:val="18"/>
          <w:lang w:bidi="he-IL"/>
        </w:rPr>
        <w:t xml:space="preserve"> Silvia </w:t>
      </w:r>
      <w:r w:rsidRPr="00DB107A">
        <w:rPr>
          <w:rFonts w:cs="Times"/>
          <w:sz w:val="18"/>
          <w:szCs w:val="18"/>
        </w:rPr>
        <w:t>(</w:t>
      </w:r>
      <w:proofErr w:type="spellStart"/>
      <w:r w:rsidRPr="00DB107A">
        <w:rPr>
          <w:rFonts w:cs="Times"/>
          <w:sz w:val="18"/>
          <w:szCs w:val="18"/>
        </w:rPr>
        <w:t>éd</w:t>
      </w:r>
      <w:proofErr w:type="spellEnd"/>
      <w:r w:rsidRPr="00DB107A">
        <w:rPr>
          <w:rFonts w:cs="Times"/>
          <w:sz w:val="18"/>
          <w:szCs w:val="18"/>
        </w:rPr>
        <w:t xml:space="preserve">.), </w:t>
      </w:r>
      <w:r w:rsidRPr="00DB107A">
        <w:rPr>
          <w:rFonts w:cs="Times"/>
          <w:i/>
          <w:sz w:val="18"/>
          <w:szCs w:val="18"/>
        </w:rPr>
        <w:t>Atti del convegno “Piazza Duomo prima del Duomo. Contributo alla conoscenza del complesso episcopale milanese nel centenario della nascita di Alberto de’ Capitani d’Arzago e Mario Mirabella Roberti” (Milano, 11-12 dicembre 2009</w:t>
      </w:r>
      <w:r w:rsidRPr="00DB107A">
        <w:rPr>
          <w:rFonts w:cs="Times"/>
          <w:i/>
          <w:iCs/>
          <w:sz w:val="18"/>
          <w:szCs w:val="18"/>
        </w:rPr>
        <w:t>)</w:t>
      </w:r>
      <w:r w:rsidRPr="00DB107A">
        <w:rPr>
          <w:rFonts w:cs="Times"/>
          <w:sz w:val="18"/>
          <w:szCs w:val="18"/>
          <w:lang w:bidi="he-IL"/>
        </w:rPr>
        <w:t xml:space="preserve">, Milano 2020 </w:t>
      </w:r>
      <w:r w:rsidRPr="00DB107A">
        <w:rPr>
          <w:rFonts w:eastAsia="CIDFont+F2" w:cs="Times"/>
          <w:sz w:val="18"/>
          <w:szCs w:val="18"/>
          <w:lang w:bidi="he-IL"/>
        </w:rPr>
        <w:t>(</w:t>
      </w:r>
      <w:r w:rsidR="00FC3E03">
        <w:rPr>
          <w:rFonts w:eastAsia="CIDFont+F2" w:cs="Times"/>
          <w:sz w:val="18"/>
          <w:szCs w:val="18"/>
          <w:lang w:bidi="he-IL"/>
        </w:rPr>
        <w:t xml:space="preserve">in </w:t>
      </w:r>
      <w:proofErr w:type="spellStart"/>
      <w:r w:rsidR="00FC3E03">
        <w:rPr>
          <w:rFonts w:eastAsia="CIDFont+F2" w:cs="Times"/>
          <w:sz w:val="18"/>
          <w:szCs w:val="18"/>
          <w:lang w:bidi="he-IL"/>
        </w:rPr>
        <w:t>pubbl</w:t>
      </w:r>
      <w:proofErr w:type="spellEnd"/>
      <w:r w:rsidR="00FC3E03">
        <w:rPr>
          <w:rFonts w:eastAsia="CIDFont+F2" w:cs="Times"/>
          <w:sz w:val="18"/>
          <w:szCs w:val="18"/>
          <w:lang w:bidi="he-IL"/>
        </w:rPr>
        <w:t>.</w:t>
      </w:r>
      <w:r w:rsidRPr="00DB107A">
        <w:rPr>
          <w:rFonts w:eastAsia="CIDFont+F2" w:cs="Times"/>
          <w:sz w:val="18"/>
          <w:szCs w:val="18"/>
          <w:lang w:bidi="he-IL"/>
        </w:rPr>
        <w:t>).</w:t>
      </w:r>
    </w:p>
    <w:p w:rsidR="006C556F" w:rsidRPr="00FC3E03" w:rsidRDefault="006C556F" w:rsidP="006C556F">
      <w:pPr>
        <w:pStyle w:val="Testo1"/>
        <w:spacing w:line="240" w:lineRule="exact"/>
        <w:rPr>
          <w:bCs/>
          <w:spacing w:val="-5"/>
          <w:sz w:val="10"/>
          <w:szCs w:val="10"/>
        </w:rPr>
      </w:pPr>
    </w:p>
    <w:p w:rsidR="006C556F" w:rsidRPr="001C083E" w:rsidRDefault="006C556F" w:rsidP="006C556F">
      <w:pPr>
        <w:pStyle w:val="Testo1"/>
        <w:spacing w:line="240" w:lineRule="exact"/>
        <w:ind w:firstLine="0"/>
        <w:rPr>
          <w:szCs w:val="18"/>
        </w:rPr>
      </w:pPr>
      <w:r w:rsidRPr="001C083E">
        <w:rPr>
          <w:bCs/>
          <w:spacing w:val="-5"/>
          <w:szCs w:val="18"/>
        </w:rPr>
        <w:t>Eventualmente</w:t>
      </w:r>
      <w:r w:rsidRPr="001C083E">
        <w:rPr>
          <w:bCs/>
          <w:smallCaps/>
          <w:spacing w:val="-5"/>
          <w:szCs w:val="18"/>
        </w:rPr>
        <w:t xml:space="preserve"> </w:t>
      </w:r>
      <w:r w:rsidRPr="001C083E">
        <w:rPr>
          <w:szCs w:val="18"/>
        </w:rPr>
        <w:t>brevi stralci di altri studi saranno forniti in fotocopia.</w:t>
      </w:r>
    </w:p>
    <w:p w:rsidR="006C556F" w:rsidRDefault="006C556F" w:rsidP="006C556F">
      <w:pPr>
        <w:spacing w:before="240" w:after="120" w:line="220" w:lineRule="exact"/>
        <w:rPr>
          <w:b/>
          <w:i/>
          <w:sz w:val="18"/>
        </w:rPr>
      </w:pPr>
      <w:r>
        <w:rPr>
          <w:b/>
          <w:i/>
          <w:sz w:val="18"/>
        </w:rPr>
        <w:t>DIDATTICA DEL CORSO</w:t>
      </w:r>
    </w:p>
    <w:p w:rsidR="006C556F" w:rsidRPr="00CA6D01" w:rsidRDefault="006C556F" w:rsidP="006C556F">
      <w:pPr>
        <w:pStyle w:val="Testo2"/>
      </w:pPr>
      <w:r w:rsidRPr="00CA6D01">
        <w:t>Lezioni frontali in aula.</w:t>
      </w:r>
    </w:p>
    <w:p w:rsidR="006C556F" w:rsidRDefault="006C556F" w:rsidP="006C556F">
      <w:pPr>
        <w:spacing w:before="240" w:after="120" w:line="220" w:lineRule="exact"/>
        <w:rPr>
          <w:b/>
          <w:i/>
          <w:sz w:val="18"/>
        </w:rPr>
      </w:pPr>
      <w:r>
        <w:rPr>
          <w:b/>
          <w:i/>
          <w:sz w:val="18"/>
        </w:rPr>
        <w:t>METODO E CRITERI DI VALUTAZIONE</w:t>
      </w:r>
    </w:p>
    <w:p w:rsidR="006C556F" w:rsidRPr="00CA6D01" w:rsidRDefault="006C556F" w:rsidP="006C556F">
      <w:pPr>
        <w:pStyle w:val="Testo2"/>
      </w:pPr>
      <w:r w:rsidRPr="00CA6D01">
        <w:t xml:space="preserve">Al principio del corso il docente si accerterà del possesso di adeguate competenze/conoscenze iniziali da parte degli studenti, eventualmente segnalando a ciascuno le carenze da recuperare, affinché dalle lezioni e dall’analisi delle fonti storico-letterarie sia tratto il miglior profitto. Durante lo svolgimento del Corso non si mancherà perciò di sollecitare una partecipazione attiva alla discussione dei temi sviluppati, verificando il progresso degli studenti in capacità di comprensione e pratica di metodo scientifico. La valutazione finale sarà quindi stabilita in voto attraverso un esame consistente in un colloquio – articolato su tre aree tematiche – sulla parte generale e sull’approfondimento monografico, ; il candidato dovrà dimostrare di sapersi orientare tra i temi e le questioni di fondo discussi durante le lezioni e trattati nella bibliografia prescritta, dimostrando conoscenza puntuale delle fonti storico-letterarie addotte e commentate in aula a supporto dell’esposizione. Ai fini della valutazione concorreranno la pertinenza e la corretta informazione delle risposte, l’uso appropriato della terminologia specifica, il discorso argomentato e coerente, la capacità di individuare nessi concettuali e questioni aperte. </w:t>
      </w:r>
    </w:p>
    <w:p w:rsidR="006C556F" w:rsidRDefault="006C556F" w:rsidP="006C556F">
      <w:pPr>
        <w:spacing w:before="240" w:after="120"/>
        <w:rPr>
          <w:b/>
          <w:i/>
          <w:sz w:val="18"/>
        </w:rPr>
      </w:pPr>
      <w:r>
        <w:rPr>
          <w:b/>
          <w:i/>
          <w:sz w:val="18"/>
        </w:rPr>
        <w:t>AVVERTENZE E PREREQUISITI</w:t>
      </w:r>
    </w:p>
    <w:p w:rsidR="006C556F" w:rsidRDefault="006C556F" w:rsidP="006C556F">
      <w:pPr>
        <w:pStyle w:val="Testo2"/>
      </w:pPr>
      <w:r w:rsidRPr="00CA6D01">
        <w:lastRenderedPageBreak/>
        <w:t xml:space="preserve">Antologia di fonti letterarie e complementi di bibliografia saranno forniti durante le lezioni secondo opportunità e quindi resi disponibili sulla pagina personale del Docente nel sito </w:t>
      </w:r>
      <w:r w:rsidRPr="00CA6D01">
        <w:rPr>
          <w:i/>
          <w:iCs/>
        </w:rPr>
        <w:t>web</w:t>
      </w:r>
      <w:r w:rsidRPr="00CA6D01">
        <w:t xml:space="preserve"> dell’Università.</w:t>
      </w:r>
    </w:p>
    <w:p w:rsidR="006C556F" w:rsidRPr="00CA6D01" w:rsidRDefault="006C556F" w:rsidP="006C556F">
      <w:pPr>
        <w:pStyle w:val="Testo2"/>
      </w:pPr>
      <w:r w:rsidRPr="00CA6D01">
        <w:t>Avendo carattere introduttivo, l’insegnamento non necessita di prerequisiti specifici. Si presuppone comunque curiosità per la riflessione teologica e la storia del cristianesimo (delle origini in particolare) e perciò si consiglia l’acquisizione di basilari informazioni almeno sulla storia della Chiesa antica nel contesto greco-romano.</w:t>
      </w:r>
    </w:p>
    <w:p w:rsidR="006C556F" w:rsidRDefault="006C556F" w:rsidP="006C556F">
      <w:pPr>
        <w:pStyle w:val="Testo2"/>
      </w:pPr>
    </w:p>
    <w:p w:rsidR="00767F99" w:rsidRPr="00767F99" w:rsidRDefault="00767F99" w:rsidP="00767F99">
      <w:pPr>
        <w:pStyle w:val="Testo2"/>
        <w:rPr>
          <w:bCs/>
          <w:iCs/>
        </w:rPr>
      </w:pPr>
      <w:r w:rsidRPr="00767F99">
        <w:rPr>
          <w:bCs/>
          <w:iCs/>
        </w:rPr>
        <w:t>COVID-19</w:t>
      </w:r>
    </w:p>
    <w:p w:rsidR="00767F99" w:rsidRPr="00767F99" w:rsidRDefault="00767F99" w:rsidP="00767F99">
      <w:pPr>
        <w:pStyle w:val="Testo2"/>
      </w:pPr>
      <w:r w:rsidRPr="00767F99">
        <w:t xml:space="preserve">Qualora l'emergenza sanitaria dovesse protrarsi, sia l’attività didattica sia le forme di controllo dell’apprendimento, </w:t>
      </w:r>
      <w:r w:rsidRPr="00767F99">
        <w:rPr>
          <w:i/>
          <w:iCs/>
        </w:rPr>
        <w:t>in itinere</w:t>
      </w:r>
      <w:r w:rsidRPr="00767F99">
        <w:t xml:space="preserve"> e finale, saranno assicurate anche “da remoto”, attraverso la piattaforma </w:t>
      </w:r>
      <w:r w:rsidRPr="00767F99">
        <w:rPr>
          <w:i/>
          <w:iCs/>
        </w:rPr>
        <w:t>BlackBoard</w:t>
      </w:r>
      <w:r w:rsidRPr="00767F99">
        <w:t xml:space="preserve"> di Ateneo, la piattaforma </w:t>
      </w:r>
      <w:r w:rsidRPr="00767F99">
        <w:rPr>
          <w:i/>
          <w:iCs/>
        </w:rPr>
        <w:t>Microsoft Teams</w:t>
      </w:r>
      <w:r w:rsidRPr="00767F99">
        <w:t xml:space="preserve"> e gli eventuali altri strumenti previsti e comunicati in avvio di corso, in modo da garantire il pieno raggiungimento degli obiettivi formativi previsti nei piani di studio e, contestualmente, la piena sicurezza degli studenti.</w:t>
      </w:r>
    </w:p>
    <w:p w:rsidR="00767F99" w:rsidRPr="00CA6D01" w:rsidRDefault="00767F99" w:rsidP="00767F99">
      <w:pPr>
        <w:pStyle w:val="Testo2"/>
        <w:ind w:firstLine="0"/>
      </w:pPr>
    </w:p>
    <w:p w:rsidR="006C556F" w:rsidRDefault="006C556F" w:rsidP="006C556F">
      <w:pPr>
        <w:pStyle w:val="Testo2"/>
      </w:pPr>
    </w:p>
    <w:p w:rsidR="006C556F" w:rsidRPr="00CA6D01" w:rsidRDefault="006C556F" w:rsidP="006C556F">
      <w:pPr>
        <w:pStyle w:val="Testo2"/>
        <w:rPr>
          <w:i/>
        </w:rPr>
      </w:pPr>
      <w:r w:rsidRPr="00CA6D01">
        <w:rPr>
          <w:i/>
        </w:rPr>
        <w:t>Orario e luogo di ricevimento degli studenti</w:t>
      </w:r>
    </w:p>
    <w:p w:rsidR="006C556F" w:rsidRDefault="006C556F" w:rsidP="006C556F">
      <w:pPr>
        <w:pStyle w:val="Testo2"/>
      </w:pPr>
      <w:r w:rsidRPr="00CA6D01">
        <w:t xml:space="preserve">Il prof. A. Persic riceverà gli studenti immediatamente dopo le lezioni, o per appuntamento concordato tramite </w:t>
      </w:r>
      <w:r w:rsidRPr="00CA6D01">
        <w:rPr>
          <w:i/>
        </w:rPr>
        <w:t>e-mail</w:t>
      </w:r>
      <w:r w:rsidRPr="00CA6D01">
        <w:t>.</w:t>
      </w:r>
    </w:p>
    <w:p w:rsidR="006C556F" w:rsidRDefault="006C556F" w:rsidP="006C556F">
      <w:pPr>
        <w:pStyle w:val="Testo2"/>
      </w:pPr>
    </w:p>
    <w:p w:rsidR="00D04499" w:rsidRDefault="00D04499"/>
    <w:sectPr w:rsidR="00D0449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CB" w:rsidRDefault="00C551CB" w:rsidP="00C551CB">
      <w:pPr>
        <w:spacing w:line="240" w:lineRule="auto"/>
      </w:pPr>
      <w:r>
        <w:separator/>
      </w:r>
    </w:p>
  </w:endnote>
  <w:endnote w:type="continuationSeparator" w:id="0">
    <w:p w:rsidR="00C551CB" w:rsidRDefault="00C551CB" w:rsidP="00C55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CB" w:rsidRDefault="00C551CB" w:rsidP="00C551CB">
      <w:pPr>
        <w:spacing w:line="240" w:lineRule="auto"/>
      </w:pPr>
      <w:r>
        <w:separator/>
      </w:r>
    </w:p>
  </w:footnote>
  <w:footnote w:type="continuationSeparator" w:id="0">
    <w:p w:rsidR="00C551CB" w:rsidRDefault="00C551CB" w:rsidP="00C551CB">
      <w:pPr>
        <w:spacing w:line="240" w:lineRule="auto"/>
      </w:pPr>
      <w:r>
        <w:continuationSeparator/>
      </w:r>
    </w:p>
  </w:footnote>
  <w:footnote w:id="1">
    <w:p w:rsidR="00C551CB" w:rsidRDefault="00C551CB">
      <w:pPr>
        <w:pStyle w:val="Testonotaapidipagina"/>
      </w:pPr>
      <w:r>
        <w:rPr>
          <w:rStyle w:val="Rimandonotaapidipagina"/>
        </w:rPr>
        <w:footnoteRef/>
      </w:r>
      <w:r>
        <w:t xml:space="preserve"> </w:t>
      </w:r>
      <w:r w:rsidRPr="00C551CB">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ADD"/>
    <w:multiLevelType w:val="hybridMultilevel"/>
    <w:tmpl w:val="382E91D8"/>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5FC316C5"/>
    <w:multiLevelType w:val="hybridMultilevel"/>
    <w:tmpl w:val="2AAA0C2E"/>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F"/>
    <w:rsid w:val="000F19C1"/>
    <w:rsid w:val="005352D0"/>
    <w:rsid w:val="006C556F"/>
    <w:rsid w:val="006D2243"/>
    <w:rsid w:val="00767F99"/>
    <w:rsid w:val="007D27C0"/>
    <w:rsid w:val="008128CC"/>
    <w:rsid w:val="00845409"/>
    <w:rsid w:val="0094288E"/>
    <w:rsid w:val="00A4528C"/>
    <w:rsid w:val="00AB46F3"/>
    <w:rsid w:val="00C551CB"/>
    <w:rsid w:val="00D04499"/>
    <w:rsid w:val="00D73E39"/>
    <w:rsid w:val="00DB107A"/>
    <w:rsid w:val="00E41F4C"/>
    <w:rsid w:val="00FC3E03"/>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168C-9CB2-4982-96D3-B4A782FD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56F"/>
    <w:pPr>
      <w:tabs>
        <w:tab w:val="left" w:pos="284"/>
      </w:tabs>
      <w:spacing w:after="0" w:line="240" w:lineRule="exact"/>
      <w:jc w:val="both"/>
    </w:pPr>
    <w:rPr>
      <w:rFonts w:ascii="Times" w:eastAsia="Times New Roman" w:hAnsi="Times" w:cs="Times New Roman"/>
      <w:sz w:val="20"/>
      <w:szCs w:val="20"/>
      <w:lang w:eastAsia="it-IT" w:bidi="ar-SA"/>
    </w:rPr>
  </w:style>
  <w:style w:type="paragraph" w:styleId="Titolo1">
    <w:name w:val="heading 1"/>
    <w:next w:val="Titolo2"/>
    <w:link w:val="Titolo1Carattere"/>
    <w:qFormat/>
    <w:rsid w:val="006C556F"/>
    <w:pPr>
      <w:spacing w:before="480" w:after="0" w:line="240" w:lineRule="exact"/>
      <w:outlineLvl w:val="0"/>
    </w:pPr>
    <w:rPr>
      <w:rFonts w:ascii="Times" w:eastAsia="Times New Roman" w:hAnsi="Times" w:cs="Times New Roman"/>
      <w:b/>
      <w:noProof/>
      <w:sz w:val="20"/>
      <w:szCs w:val="20"/>
      <w:lang w:eastAsia="it-IT" w:bidi="ar-SA"/>
    </w:rPr>
  </w:style>
  <w:style w:type="paragraph" w:styleId="Titolo2">
    <w:name w:val="heading 2"/>
    <w:next w:val="Titolo3"/>
    <w:link w:val="Titolo2Carattere"/>
    <w:qFormat/>
    <w:rsid w:val="006C556F"/>
    <w:pPr>
      <w:spacing w:after="0" w:line="240" w:lineRule="exact"/>
      <w:outlineLvl w:val="1"/>
    </w:pPr>
    <w:rPr>
      <w:rFonts w:ascii="Times" w:eastAsia="Times New Roman" w:hAnsi="Times" w:cs="Times New Roman"/>
      <w:smallCaps/>
      <w:noProof/>
      <w:sz w:val="18"/>
      <w:szCs w:val="20"/>
      <w:lang w:eastAsia="it-IT" w:bidi="ar-SA"/>
    </w:rPr>
  </w:style>
  <w:style w:type="paragraph" w:styleId="Titolo3">
    <w:name w:val="heading 3"/>
    <w:basedOn w:val="Normale"/>
    <w:next w:val="Normale"/>
    <w:link w:val="Titolo3Carattere"/>
    <w:uiPriority w:val="9"/>
    <w:semiHidden/>
    <w:unhideWhenUsed/>
    <w:qFormat/>
    <w:rsid w:val="006C55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556F"/>
    <w:rPr>
      <w:rFonts w:ascii="Times" w:eastAsia="Times New Roman" w:hAnsi="Times" w:cs="Times New Roman"/>
      <w:b/>
      <w:noProof/>
      <w:sz w:val="20"/>
      <w:szCs w:val="20"/>
      <w:lang w:val="it-IT" w:eastAsia="it-IT" w:bidi="ar-SA"/>
    </w:rPr>
  </w:style>
  <w:style w:type="character" w:customStyle="1" w:styleId="Titolo2Carattere">
    <w:name w:val="Titolo 2 Carattere"/>
    <w:basedOn w:val="Carpredefinitoparagrafo"/>
    <w:link w:val="Titolo2"/>
    <w:rsid w:val="006C556F"/>
    <w:rPr>
      <w:rFonts w:ascii="Times" w:eastAsia="Times New Roman" w:hAnsi="Times" w:cs="Times New Roman"/>
      <w:smallCaps/>
      <w:noProof/>
      <w:sz w:val="18"/>
      <w:szCs w:val="20"/>
      <w:lang w:val="it-IT" w:eastAsia="it-IT" w:bidi="ar-SA"/>
    </w:rPr>
  </w:style>
  <w:style w:type="character" w:styleId="Collegamentoipertestuale">
    <w:name w:val="Hyperlink"/>
    <w:basedOn w:val="Carpredefinitoparagrafo"/>
    <w:uiPriority w:val="99"/>
    <w:unhideWhenUsed/>
    <w:rsid w:val="006C556F"/>
    <w:rPr>
      <w:color w:val="0563C1" w:themeColor="hyperlink"/>
      <w:u w:val="single"/>
    </w:rPr>
  </w:style>
  <w:style w:type="paragraph" w:customStyle="1" w:styleId="Testo1">
    <w:name w:val="Testo 1"/>
    <w:rsid w:val="006C556F"/>
    <w:pPr>
      <w:spacing w:after="0" w:line="220" w:lineRule="exact"/>
      <w:ind w:left="284" w:hanging="284"/>
      <w:jc w:val="both"/>
    </w:pPr>
    <w:rPr>
      <w:rFonts w:ascii="Times" w:eastAsia="Times New Roman" w:hAnsi="Times" w:cs="Times New Roman"/>
      <w:noProof/>
      <w:sz w:val="18"/>
      <w:szCs w:val="20"/>
      <w:lang w:eastAsia="it-IT" w:bidi="ar-SA"/>
    </w:rPr>
  </w:style>
  <w:style w:type="paragraph" w:customStyle="1" w:styleId="Testo2">
    <w:name w:val="Testo 2"/>
    <w:rsid w:val="006C556F"/>
    <w:pPr>
      <w:spacing w:after="0" w:line="220" w:lineRule="exact"/>
      <w:ind w:firstLine="284"/>
      <w:jc w:val="both"/>
    </w:pPr>
    <w:rPr>
      <w:rFonts w:ascii="Times" w:eastAsia="Times New Roman" w:hAnsi="Times" w:cs="Times New Roman"/>
      <w:noProof/>
      <w:sz w:val="18"/>
      <w:szCs w:val="20"/>
      <w:lang w:eastAsia="it-IT" w:bidi="ar-SA"/>
    </w:rPr>
  </w:style>
  <w:style w:type="character" w:customStyle="1" w:styleId="Titolo3Carattere">
    <w:name w:val="Titolo 3 Carattere"/>
    <w:basedOn w:val="Carpredefinitoparagrafo"/>
    <w:link w:val="Titolo3"/>
    <w:uiPriority w:val="9"/>
    <w:semiHidden/>
    <w:rsid w:val="006C556F"/>
    <w:rPr>
      <w:rFonts w:asciiTheme="majorHAnsi" w:eastAsiaTheme="majorEastAsia" w:hAnsiTheme="majorHAnsi" w:cstheme="majorBidi"/>
      <w:color w:val="1F3763" w:themeColor="accent1" w:themeShade="7F"/>
      <w:sz w:val="24"/>
      <w:szCs w:val="24"/>
      <w:lang w:val="it-IT" w:eastAsia="it-IT" w:bidi="ar-SA"/>
    </w:rPr>
  </w:style>
  <w:style w:type="paragraph" w:styleId="Paragrafoelenco">
    <w:name w:val="List Paragraph"/>
    <w:basedOn w:val="Normale"/>
    <w:uiPriority w:val="34"/>
    <w:qFormat/>
    <w:rsid w:val="00DB107A"/>
    <w:pPr>
      <w:ind w:left="720"/>
      <w:contextualSpacing/>
    </w:pPr>
  </w:style>
  <w:style w:type="paragraph" w:styleId="Testonotaapidipagina">
    <w:name w:val="footnote text"/>
    <w:basedOn w:val="Normale"/>
    <w:link w:val="TestonotaapidipaginaCarattere"/>
    <w:uiPriority w:val="99"/>
    <w:semiHidden/>
    <w:unhideWhenUsed/>
    <w:rsid w:val="00C551C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551CB"/>
    <w:rPr>
      <w:rFonts w:ascii="Times" w:eastAsia="Times New Roman" w:hAnsi="Times" w:cs="Times New Roman"/>
      <w:sz w:val="20"/>
      <w:szCs w:val="20"/>
      <w:lang w:eastAsia="it-IT" w:bidi="ar-SA"/>
    </w:rPr>
  </w:style>
  <w:style w:type="character" w:styleId="Rimandonotaapidipagina">
    <w:name w:val="footnote reference"/>
    <w:basedOn w:val="Carpredefinitoparagrafo"/>
    <w:uiPriority w:val="99"/>
    <w:semiHidden/>
    <w:unhideWhenUsed/>
    <w:rsid w:val="00C55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eter-brown/il-culto-dei-santi-lorigine-e-la-diffusione-di-una-nuova-religiosita-9788806163310-21323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ademia.edu/39530112/" TargetMode="External"/><Relationship Id="rId4" Type="http://schemas.openxmlformats.org/officeDocument/2006/relationships/settings" Target="settings.xml"/><Relationship Id="rId9" Type="http://schemas.openxmlformats.org/officeDocument/2006/relationships/hyperlink" Target="https://librerie.unicatt.it/scheda-libro/santita-culti-agiografia-9788885669666-25589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DADD-05E7-4BD3-91EE-4137C618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Persic Alessio</dc:creator>
  <cp:keywords/>
  <dc:description/>
  <cp:lastModifiedBy>Magatelli Matteo</cp:lastModifiedBy>
  <cp:revision>3</cp:revision>
  <dcterms:created xsi:type="dcterms:W3CDTF">2020-07-07T15:02:00Z</dcterms:created>
  <dcterms:modified xsi:type="dcterms:W3CDTF">2020-12-16T14:31:00Z</dcterms:modified>
</cp:coreProperties>
</file>