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89" w:rsidRDefault="00D30989" w:rsidP="00D30989">
      <w:pPr>
        <w:rPr>
          <w:b/>
        </w:rPr>
      </w:pPr>
      <w:r>
        <w:rPr>
          <w:b/>
        </w:rPr>
        <w:t>Diritto Commerciale</w:t>
      </w:r>
    </w:p>
    <w:p w:rsidR="00D30989" w:rsidRDefault="00D30989" w:rsidP="00D30989">
      <w:pPr>
        <w:tabs>
          <w:tab w:val="clear" w:pos="284"/>
          <w:tab w:val="left" w:pos="708"/>
        </w:tabs>
        <w:jc w:val="left"/>
        <w:outlineLvl w:val="1"/>
        <w:rPr>
          <w:smallCaps/>
          <w:noProof/>
          <w:sz w:val="18"/>
        </w:rPr>
      </w:pPr>
      <w:r>
        <w:rPr>
          <w:smallCaps/>
          <w:noProof/>
          <w:sz w:val="18"/>
        </w:rPr>
        <w:t>Prof. Ivan Demuro</w:t>
      </w:r>
    </w:p>
    <w:p w:rsidR="00D30989" w:rsidRDefault="00D30989" w:rsidP="00D3098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:rsidR="00D30989" w:rsidRDefault="00D30989" w:rsidP="00D30989">
      <w:pPr>
        <w:tabs>
          <w:tab w:val="left" w:pos="0"/>
        </w:tabs>
      </w:pPr>
      <w:r>
        <w:t>Il corso si propone di fornire allo studente un’introduzione al diritto dei fenomeni produttivi organizzati in forma imprenditoriale e, segnatamente, dell’impresa commerciale nonché gli aspetti generali della legge fallimentare.</w:t>
      </w:r>
    </w:p>
    <w:p w:rsidR="00D30989" w:rsidRDefault="00D30989" w:rsidP="00D30989"/>
    <w:p w:rsidR="00D30989" w:rsidRDefault="00D30989" w:rsidP="00D30989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RISULTATI DI APPRENDIMENTO</w:t>
      </w:r>
    </w:p>
    <w:p w:rsidR="00D30989" w:rsidRDefault="00D30989" w:rsidP="00D30989">
      <w:pPr>
        <w:tabs>
          <w:tab w:val="left" w:pos="142"/>
        </w:tabs>
      </w:pPr>
      <w:r>
        <w:t xml:space="preserve">Apprendimento dei principi sulla disciplina dell’impresa e sulle forme societarie attraverso le quali la stessa può essere esercitata. </w:t>
      </w:r>
    </w:p>
    <w:p w:rsidR="00D30989" w:rsidRDefault="00D30989" w:rsidP="00D3098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30989" w:rsidRDefault="00D30989" w:rsidP="00D30989">
      <w:r>
        <w:rPr>
          <w:b/>
        </w:rPr>
        <w:t>La fattispecie</w:t>
      </w:r>
      <w:r>
        <w:t>: il fenomeno «impresa»; i fenomeni imprenditoriali a rilevanza negativa (l’impresa agricola e la piccola impresa); il fenomeno imprenditoriale disciplinato (l’impresa commerciale); il rapporto tra impresa commerciale e le professioni intellettuali.</w:t>
      </w:r>
    </w:p>
    <w:p w:rsidR="00D30989" w:rsidRDefault="00D30989" w:rsidP="00D30989">
      <w:r>
        <w:rPr>
          <w:b/>
        </w:rPr>
        <w:t>La disciplina</w:t>
      </w:r>
      <w:r>
        <w:t>: lo statuto dell’impresa commerciale [gli ausiliari e la rappresentanza commerciale; la pubblicità commerciale; le scritture contabili; l’insolvenza (brevi cenni)]; gli altri profili di disciplina (l’azienda; i segni distintivi; la concorrenza).</w:t>
      </w:r>
    </w:p>
    <w:p w:rsidR="00D30989" w:rsidRDefault="00D30989" w:rsidP="00D30989">
      <w:r>
        <w:rPr>
          <w:b/>
        </w:rPr>
        <w:t>L’imputazione (della disciplina) dell’impresa e l’acquisto della qualifica di imprenditore (commerciale)</w:t>
      </w:r>
      <w:r>
        <w:t>: l’impresa dell’incapace; la teoria formalista (o della spendita del nome); la teoria sostanzialista (o dell’imprenditore occulto); l’inizio e la fine dell’impresa.</w:t>
      </w:r>
    </w:p>
    <w:p w:rsidR="00D30989" w:rsidRDefault="00D30989" w:rsidP="00D30989">
      <w:r>
        <w:rPr>
          <w:b/>
        </w:rPr>
        <w:t>L’esercizio collettivo dell’impresa (commerciale)</w:t>
      </w:r>
      <w:r>
        <w:t>: l’esercizio non societario (cenni); l’esercizio societario; la nozione di società; la differenza con la comunione; i tipi di società.</w:t>
      </w:r>
    </w:p>
    <w:p w:rsidR="00D30989" w:rsidRDefault="00D30989" w:rsidP="00D30989">
      <w:r>
        <w:rPr>
          <w:b/>
        </w:rPr>
        <w:t>La società in nome collettivo (e i necessari richiami alla società semplice)</w:t>
      </w:r>
      <w:r>
        <w:t>: costituzione; organizzazione del patrimonio; organizzazione dell’attività sociale; le vicende della partecipazione sociale; scioglimento e liquidazione.</w:t>
      </w:r>
    </w:p>
    <w:p w:rsidR="00D30989" w:rsidRDefault="00D30989" w:rsidP="00D30989">
      <w:r>
        <w:rPr>
          <w:b/>
        </w:rPr>
        <w:t>La società in accomandita semplice</w:t>
      </w:r>
      <w:r>
        <w:t>: il socio accomandatario e il socio accomandante.</w:t>
      </w:r>
    </w:p>
    <w:p w:rsidR="00D30989" w:rsidRDefault="00D30989" w:rsidP="00D30989">
      <w:r>
        <w:rPr>
          <w:b/>
        </w:rPr>
        <w:t>La società a responsabilità limitata</w:t>
      </w:r>
      <w:r>
        <w:t>: costituzione; organizzazione del patrimonio; organizzazione dell’attività sociale; le vicende della partecipazione sociale; scioglimento e liquidazione.</w:t>
      </w:r>
    </w:p>
    <w:p w:rsidR="00D30989" w:rsidRDefault="00D30989" w:rsidP="00D30989">
      <w:r>
        <w:rPr>
          <w:b/>
        </w:rPr>
        <w:t>La società per azioni</w:t>
      </w:r>
      <w:r>
        <w:t>: costituzione; organizzazione del patrimonio; organizzazione dell’attività sociale; le vicende della partecipazione sociale; scioglimento e liquidazione.</w:t>
      </w:r>
    </w:p>
    <w:p w:rsidR="00D30989" w:rsidRDefault="00D30989" w:rsidP="00D30989">
      <w:pPr>
        <w:rPr>
          <w:b/>
        </w:rPr>
      </w:pPr>
      <w:r>
        <w:rPr>
          <w:b/>
        </w:rPr>
        <w:t>La società cooperativa.</w:t>
      </w:r>
    </w:p>
    <w:p w:rsidR="00D30989" w:rsidRDefault="00D30989" w:rsidP="00D30989">
      <w:r>
        <w:rPr>
          <w:b/>
        </w:rPr>
        <w:lastRenderedPageBreak/>
        <w:t>La trasformazione, la fusione e la scissione</w:t>
      </w:r>
      <w:r>
        <w:t>.</w:t>
      </w:r>
    </w:p>
    <w:p w:rsidR="00D30989" w:rsidRDefault="00D30989" w:rsidP="00D30989">
      <w:pPr>
        <w:rPr>
          <w:b/>
        </w:rPr>
      </w:pPr>
      <w:r>
        <w:rPr>
          <w:b/>
        </w:rPr>
        <w:t>La crisi dell’impresa (cenni).</w:t>
      </w:r>
    </w:p>
    <w:p w:rsidR="006D639A" w:rsidRDefault="006D639A" w:rsidP="00D30989">
      <w:pPr>
        <w:rPr>
          <w:b/>
        </w:rPr>
      </w:pPr>
    </w:p>
    <w:p w:rsidR="00D30989" w:rsidRDefault="00D30989" w:rsidP="00D3098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  <w:r>
        <w:rPr>
          <w:smallCaps/>
          <w:noProof/>
          <w:sz w:val="16"/>
        </w:rPr>
        <w:t>G.Cottino (</w:t>
      </w:r>
      <w:r>
        <w:rPr>
          <w:noProof/>
          <w:sz w:val="16"/>
          <w:szCs w:val="16"/>
        </w:rPr>
        <w:t>a cura di)</w:t>
      </w:r>
      <w:r>
        <w:rPr>
          <w:smallCaps/>
          <w:noProof/>
          <w:sz w:val="16"/>
        </w:rPr>
        <w:t>,</w:t>
      </w:r>
      <w:r>
        <w:rPr>
          <w:i/>
          <w:noProof/>
          <w:sz w:val="18"/>
        </w:rPr>
        <w:t xml:space="preserve"> Lineamenti di diritto commerciale,</w:t>
      </w:r>
      <w:r>
        <w:rPr>
          <w:noProof/>
          <w:sz w:val="18"/>
        </w:rPr>
        <w:t xml:space="preserve"> Zanichelli, Torino, 2014, limitatamente alle seguenti pagine: da p. 1 a p. 106; da p. 163 a p. 560.</w:t>
      </w:r>
    </w:p>
    <w:p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  <w:r>
        <w:rPr>
          <w:noProof/>
          <w:sz w:val="18"/>
        </w:rPr>
        <w:t>Le parti restanti del manuale non sono da studiare.</w:t>
      </w:r>
    </w:p>
    <w:p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  <w:r>
        <w:rPr>
          <w:sz w:val="18"/>
        </w:rPr>
        <w:t>È indispensabile la consultazione di un codice civile aggiornato all’anno di corso.</w:t>
      </w:r>
    </w:p>
    <w:p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  <w:r>
        <w:rPr>
          <w:sz w:val="18"/>
        </w:rPr>
        <w:t>È opportuna la lettura di qualche quotidiano economico e/o della pagina economica di uno (o più) dei principali quotidiani nazionali.</w:t>
      </w:r>
    </w:p>
    <w:p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  <w:r>
        <w:rPr>
          <w:sz w:val="18"/>
        </w:rPr>
        <w:t>Durante il corso saranno messi a disposizione degli studenti articoli, pubblicati in riviste giuridiche, aventi ad oggetto approfondimenti degli argomenti trattati a lezione. Tali articoli non saranno oggetto di domande d’esame.</w:t>
      </w:r>
    </w:p>
    <w:p w:rsidR="006D639A" w:rsidRDefault="006D639A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</w:p>
    <w:p w:rsidR="00D30989" w:rsidRDefault="00D30989" w:rsidP="00D3098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  <w:r>
        <w:rPr>
          <w:sz w:val="18"/>
        </w:rPr>
        <w:t xml:space="preserve">Lezioni in aula. </w:t>
      </w:r>
    </w:p>
    <w:p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  <w:r>
        <w:rPr>
          <w:noProof/>
          <w:sz w:val="18"/>
        </w:rPr>
        <w:t>Durante il corso si svolgeranno delle esercitazioni e, compatibilmente con la disponibilità delle Camera di Commercio di Piacenza, una lezione “pratica” sul funzionamento del Registro delle imprese.</w:t>
      </w:r>
    </w:p>
    <w:p w:rsidR="006D639A" w:rsidRDefault="006D639A" w:rsidP="00D30989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</w:p>
    <w:p w:rsidR="00D30989" w:rsidRDefault="00D30989" w:rsidP="00D30989">
      <w:pPr>
        <w:spacing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DI VALUTAZIONE</w:t>
      </w:r>
    </w:p>
    <w:p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L’esame si svolge in forma orale. L’esame consiste in domande sul programma al fine di valutare la preparazione e le conoscenze dello studente. Lo studente può, durante l’esame, consultare il codice civile.</w:t>
      </w:r>
    </w:p>
    <w:p w:rsidR="00D30989" w:rsidRDefault="00D30989" w:rsidP="00D30989">
      <w:pPr>
        <w:tabs>
          <w:tab w:val="clear" w:pos="284"/>
          <w:tab w:val="left" w:pos="708"/>
        </w:tabs>
        <w:spacing w:line="220" w:lineRule="exact"/>
        <w:ind w:firstLine="284"/>
        <w:rPr>
          <w:sz w:val="18"/>
          <w:szCs w:val="18"/>
        </w:rPr>
      </w:pPr>
    </w:p>
    <w:p w:rsidR="006D639A" w:rsidRDefault="006D639A" w:rsidP="00D30989">
      <w:pPr>
        <w:tabs>
          <w:tab w:val="clear" w:pos="284"/>
          <w:tab w:val="left" w:pos="708"/>
        </w:tabs>
        <w:spacing w:line="220" w:lineRule="exact"/>
        <w:ind w:firstLine="284"/>
        <w:rPr>
          <w:sz w:val="18"/>
          <w:szCs w:val="18"/>
        </w:rPr>
      </w:pPr>
      <w:bookmarkStart w:id="0" w:name="_GoBack"/>
      <w:bookmarkEnd w:id="0"/>
    </w:p>
    <w:p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</w:p>
    <w:p w:rsidR="00D30989" w:rsidRDefault="00D30989" w:rsidP="00D30989">
      <w:pPr>
        <w:pStyle w:val="Testo2"/>
        <w:ind w:firstLine="0"/>
        <w:rPr>
          <w:b/>
          <w:i/>
        </w:rPr>
      </w:pPr>
      <w:r>
        <w:rPr>
          <w:b/>
          <w:i/>
        </w:rPr>
        <w:t>ORARIO E LUOGO DI RICEVIMENTO DEGLI STUDENTI</w:t>
      </w:r>
    </w:p>
    <w:p w:rsidR="00D30989" w:rsidRDefault="00D30989" w:rsidP="00D30989">
      <w:pPr>
        <w:pStyle w:val="Testo2"/>
        <w:ind w:firstLine="0"/>
      </w:pPr>
    </w:p>
    <w:p w:rsidR="00D30989" w:rsidRDefault="00D30989" w:rsidP="00D30989">
      <w:pPr>
        <w:pStyle w:val="Testo2"/>
        <w:ind w:firstLine="0"/>
      </w:pPr>
      <w:r>
        <w:t xml:space="preserve">Gli orari di ricevimento sono disponibili on line nella pagina personale del docente, consultabile al sito </w:t>
      </w:r>
      <w:hyperlink r:id="rId6" w:history="1">
        <w:r>
          <w:rPr>
            <w:rStyle w:val="Collegamentoipertestuale"/>
          </w:rPr>
          <w:t>http://docenti.unicatt.it/</w:t>
        </w:r>
      </w:hyperlink>
    </w:p>
    <w:p w:rsidR="00D30989" w:rsidRDefault="00D30989" w:rsidP="00D30989"/>
    <w:p w:rsidR="00D30989" w:rsidRDefault="00D30989" w:rsidP="00D30989">
      <w:pPr>
        <w:tabs>
          <w:tab w:val="clear" w:pos="284"/>
          <w:tab w:val="left" w:pos="708"/>
        </w:tabs>
        <w:jc w:val="left"/>
        <w:outlineLvl w:val="1"/>
        <w:rPr>
          <w:smallCaps/>
          <w:noProof/>
          <w:sz w:val="18"/>
        </w:rPr>
      </w:pPr>
    </w:p>
    <w:p w:rsidR="00D30989" w:rsidRDefault="00D30989" w:rsidP="00D30989"/>
    <w:p w:rsidR="00D30989" w:rsidRDefault="00D30989" w:rsidP="00D30989">
      <w:pPr>
        <w:tabs>
          <w:tab w:val="clear" w:pos="284"/>
          <w:tab w:val="left" w:pos="708"/>
        </w:tabs>
        <w:spacing w:line="220" w:lineRule="exact"/>
        <w:rPr>
          <w:sz w:val="18"/>
        </w:rPr>
      </w:pPr>
    </w:p>
    <w:p w:rsidR="00D30989" w:rsidRDefault="00D30989" w:rsidP="00D30989"/>
    <w:p w:rsidR="00181650" w:rsidRPr="00737CF4" w:rsidRDefault="00181650" w:rsidP="00737CF4"/>
    <w:sectPr w:rsidR="00181650" w:rsidRPr="00737CF4" w:rsidSect="008043F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8E"/>
    <w:rsid w:val="000B03D8"/>
    <w:rsid w:val="000D4C9C"/>
    <w:rsid w:val="00181650"/>
    <w:rsid w:val="002501C8"/>
    <w:rsid w:val="00290DF5"/>
    <w:rsid w:val="00305053"/>
    <w:rsid w:val="00441C8E"/>
    <w:rsid w:val="004F22B3"/>
    <w:rsid w:val="006634DE"/>
    <w:rsid w:val="0067054D"/>
    <w:rsid w:val="00687085"/>
    <w:rsid w:val="006B609B"/>
    <w:rsid w:val="006D639A"/>
    <w:rsid w:val="007171CF"/>
    <w:rsid w:val="00731864"/>
    <w:rsid w:val="00737CF4"/>
    <w:rsid w:val="00745E10"/>
    <w:rsid w:val="0079329E"/>
    <w:rsid w:val="007C4D26"/>
    <w:rsid w:val="0082767A"/>
    <w:rsid w:val="00877C8E"/>
    <w:rsid w:val="00880BF0"/>
    <w:rsid w:val="008A5387"/>
    <w:rsid w:val="008E0DD1"/>
    <w:rsid w:val="008F2DFB"/>
    <w:rsid w:val="00904A9B"/>
    <w:rsid w:val="00930709"/>
    <w:rsid w:val="00946716"/>
    <w:rsid w:val="00B73015"/>
    <w:rsid w:val="00CB382E"/>
    <w:rsid w:val="00D30989"/>
    <w:rsid w:val="00D34A69"/>
    <w:rsid w:val="00D63CA1"/>
    <w:rsid w:val="00D731CF"/>
    <w:rsid w:val="00DD78E0"/>
    <w:rsid w:val="00E05825"/>
    <w:rsid w:val="00F76160"/>
    <w:rsid w:val="00FB494E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  <w:lang w:val="en-GB" w:eastAsia="en-GB"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7171C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80B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B03D8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rsid w:val="00880BF0"/>
    <w:pPr>
      <w:autoSpaceDE w:val="0"/>
      <w:autoSpaceDN w:val="0"/>
      <w:adjustRightInd w:val="0"/>
      <w:spacing w:line="240" w:lineRule="atLeast"/>
    </w:pPr>
    <w:rPr>
      <w:spacing w:val="-5"/>
      <w:sz w:val="18"/>
      <w:lang w:val="en-GB"/>
    </w:rPr>
  </w:style>
  <w:style w:type="character" w:customStyle="1" w:styleId="Titolo1Carattere">
    <w:name w:val="Titolo 1 Carattere"/>
    <w:link w:val="Titolo1"/>
    <w:rsid w:val="004F22B3"/>
    <w:rPr>
      <w:rFonts w:ascii="Times" w:hAnsi="Times"/>
      <w:b/>
      <w:noProof/>
      <w:lang w:val="en-GB" w:eastAsia="en-GB" w:bidi="ar-SA"/>
    </w:rPr>
  </w:style>
  <w:style w:type="character" w:customStyle="1" w:styleId="Titolo2Carattere">
    <w:name w:val="Titolo 2 Carattere"/>
    <w:link w:val="Titolo2"/>
    <w:rsid w:val="004F22B3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181650"/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  <w:lang w:val="en-GB" w:eastAsia="en-GB"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7171C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80B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B03D8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rsid w:val="00880BF0"/>
    <w:pPr>
      <w:autoSpaceDE w:val="0"/>
      <w:autoSpaceDN w:val="0"/>
      <w:adjustRightInd w:val="0"/>
      <w:spacing w:line="240" w:lineRule="atLeast"/>
    </w:pPr>
    <w:rPr>
      <w:spacing w:val="-5"/>
      <w:sz w:val="18"/>
      <w:lang w:val="en-GB"/>
    </w:rPr>
  </w:style>
  <w:style w:type="character" w:customStyle="1" w:styleId="Titolo1Carattere">
    <w:name w:val="Titolo 1 Carattere"/>
    <w:link w:val="Titolo1"/>
    <w:rsid w:val="004F22B3"/>
    <w:rPr>
      <w:rFonts w:ascii="Times" w:hAnsi="Times"/>
      <w:b/>
      <w:noProof/>
      <w:lang w:val="en-GB" w:eastAsia="en-GB" w:bidi="ar-SA"/>
    </w:rPr>
  </w:style>
  <w:style w:type="character" w:customStyle="1" w:styleId="Titolo2Carattere">
    <w:name w:val="Titolo 2 Carattere"/>
    <w:link w:val="Titolo2"/>
    <w:rsid w:val="004F22B3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181650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Fiori Paola</cp:lastModifiedBy>
  <cp:revision>6</cp:revision>
  <cp:lastPrinted>2008-06-09T10:40:00Z</cp:lastPrinted>
  <dcterms:created xsi:type="dcterms:W3CDTF">2014-05-20T07:25:00Z</dcterms:created>
  <dcterms:modified xsi:type="dcterms:W3CDTF">2015-05-21T14:02:00Z</dcterms:modified>
</cp:coreProperties>
</file>